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2481" w:rsidRDefault="00BF2481" w:rsidP="00BF2481">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1"/>
        <w:gridCol w:w="3495"/>
      </w:tblGrid>
      <w:tr w:rsidR="00BF2481" w:rsidTr="00C46876">
        <w:trPr>
          <w:trHeight w:val="704"/>
          <w:jc w:val="center"/>
        </w:trPr>
        <w:sdt>
          <w:sdtPr>
            <w:rPr>
              <w:rFonts w:ascii="Tahoma" w:hAnsi="Tahoma"/>
              <w:color w:val="000080"/>
              <w:sz w:val="32"/>
              <w:szCs w:val="32"/>
              <w:rtl/>
            </w:rPr>
            <w:alias w:val="1174"/>
            <w:tag w:val="1174"/>
            <w:id w:val="-1585920285"/>
            <w:text w:multiLine="1"/>
          </w:sdtPr>
          <w:sdtEndPr/>
          <w:sdtContent>
            <w:tc>
              <w:tcPr>
                <w:tcW w:w="8306" w:type="dxa"/>
                <w:gridSpan w:val="2"/>
                <w:hideMark/>
              </w:tcPr>
              <w:p w:rsidR="00BF2481" w:rsidRDefault="00BF2481">
                <w:pPr>
                  <w:pStyle w:val="a3"/>
                  <w:jc w:val="center"/>
                  <w:rPr>
                    <w:rFonts w:ascii="Tahoma" w:hAnsi="Tahoma"/>
                    <w:color w:val="000080"/>
                    <w:sz w:val="32"/>
                    <w:szCs w:val="32"/>
                    <w:rtl/>
                  </w:rPr>
                </w:pPr>
                <w:r>
                  <w:rPr>
                    <w:rFonts w:ascii="Tahoma" w:hAnsi="Tahoma"/>
                    <w:color w:val="000080"/>
                    <w:sz w:val="32"/>
                    <w:szCs w:val="32"/>
                    <w:rtl/>
                  </w:rPr>
                  <w:t>בית משפט לענייני משפחה בקריית גת</w:t>
                </w:r>
              </w:p>
            </w:tc>
          </w:sdtContent>
        </w:sdt>
      </w:tr>
      <w:tr w:rsidR="00BF2481" w:rsidTr="00C46876">
        <w:trPr>
          <w:trHeight w:val="337"/>
          <w:jc w:val="center"/>
        </w:trPr>
        <w:tc>
          <w:tcPr>
            <w:tcW w:w="4811" w:type="dxa"/>
          </w:tcPr>
          <w:p w:rsidR="00BF2481" w:rsidRDefault="00BF2481">
            <w:pPr>
              <w:rPr>
                <w:b/>
                <w:bCs/>
                <w:noProof w:val="0"/>
                <w:sz w:val="26"/>
                <w:szCs w:val="26"/>
                <w:rtl/>
              </w:rPr>
            </w:pPr>
          </w:p>
        </w:tc>
        <w:tc>
          <w:tcPr>
            <w:tcW w:w="3495" w:type="dxa"/>
          </w:tcPr>
          <w:p w:rsidR="00BF2481" w:rsidRDefault="00BF2481">
            <w:pPr>
              <w:pStyle w:val="a3"/>
              <w:jc w:val="right"/>
              <w:rPr>
                <w:b/>
                <w:bCs/>
                <w:noProof w:val="0"/>
                <w:sz w:val="26"/>
                <w:szCs w:val="26"/>
                <w:rtl/>
              </w:rPr>
            </w:pPr>
          </w:p>
        </w:tc>
      </w:tr>
      <w:tr w:rsidR="00BF2481" w:rsidTr="00C46876">
        <w:trPr>
          <w:trHeight w:val="337"/>
          <w:jc w:val="center"/>
        </w:trPr>
        <w:tc>
          <w:tcPr>
            <w:tcW w:w="8306" w:type="dxa"/>
            <w:gridSpan w:val="2"/>
          </w:tcPr>
          <w:p w:rsidR="00BF2481" w:rsidRDefault="00BF2481" w:rsidP="00C46876">
            <w:pPr>
              <w:rPr>
                <w:b/>
                <w:bCs/>
                <w:noProof w:val="0"/>
                <w:sz w:val="26"/>
                <w:szCs w:val="26"/>
                <w:rtl/>
              </w:rPr>
            </w:pPr>
            <w:proofErr w:type="spellStart"/>
            <w:r>
              <w:rPr>
                <w:b/>
                <w:bCs/>
                <w:noProof w:val="0"/>
                <w:sz w:val="26"/>
                <w:szCs w:val="26"/>
                <w:rtl/>
              </w:rPr>
              <w:t>א"פ</w:t>
            </w:r>
            <w:proofErr w:type="spellEnd"/>
            <w:r>
              <w:rPr>
                <w:b/>
                <w:bCs/>
                <w:noProof w:val="0"/>
                <w:sz w:val="26"/>
                <w:szCs w:val="26"/>
                <w:rtl/>
              </w:rPr>
              <w:t xml:space="preserve"> 57018-09-22 ר</w:t>
            </w:r>
            <w:r w:rsidR="00C46876">
              <w:rPr>
                <w:rFonts w:hint="cs"/>
                <w:b/>
                <w:bCs/>
                <w:noProof w:val="0"/>
                <w:sz w:val="26"/>
                <w:szCs w:val="26"/>
                <w:rtl/>
              </w:rPr>
              <w:t>.</w:t>
            </w:r>
            <w:r>
              <w:rPr>
                <w:b/>
                <w:bCs/>
                <w:noProof w:val="0"/>
                <w:sz w:val="26"/>
                <w:szCs w:val="26"/>
                <w:rtl/>
              </w:rPr>
              <w:t xml:space="preserve"> נ' פ</w:t>
            </w:r>
            <w:r w:rsidR="00C46876">
              <w:rPr>
                <w:rFonts w:hint="cs"/>
                <w:b/>
                <w:bCs/>
                <w:noProof w:val="0"/>
                <w:sz w:val="26"/>
                <w:szCs w:val="26"/>
                <w:rtl/>
              </w:rPr>
              <w:t>.</w:t>
            </w:r>
            <w:r>
              <w:rPr>
                <w:b/>
                <w:bCs/>
                <w:noProof w:val="0"/>
                <w:sz w:val="26"/>
                <w:szCs w:val="26"/>
                <w:rtl/>
              </w:rPr>
              <w:t>(אדם שמונה לו אפוטרופוס) ואח'</w:t>
            </w:r>
          </w:p>
          <w:p w:rsidR="00BF2481" w:rsidRDefault="00BF2481">
            <w:pPr>
              <w:rPr>
                <w:b/>
                <w:bCs/>
                <w:noProof w:val="0"/>
                <w:sz w:val="2"/>
                <w:szCs w:val="2"/>
                <w:rtl/>
              </w:rPr>
            </w:pPr>
          </w:p>
          <w:p w:rsidR="00BF2481" w:rsidRDefault="00BF2481">
            <w:pPr>
              <w:rPr>
                <w:sz w:val="20"/>
                <w:szCs w:val="20"/>
                <w:rtl/>
              </w:rPr>
            </w:pPr>
            <w:r>
              <w:rPr>
                <w:rtl/>
              </w:rPr>
              <w:t xml:space="preserve">                           </w:t>
            </w:r>
            <w:r>
              <w:rPr>
                <w:sz w:val="20"/>
                <w:szCs w:val="20"/>
                <w:rtl/>
              </w:rPr>
              <w:t xml:space="preserve">                                       </w:t>
            </w:r>
          </w:p>
          <w:p w:rsidR="00BF2481" w:rsidRDefault="00BF2481">
            <w:pPr>
              <w:rPr>
                <w:sz w:val="20"/>
                <w:szCs w:val="20"/>
                <w:rtl/>
              </w:rPr>
            </w:pPr>
          </w:p>
        </w:tc>
      </w:tr>
    </w:tbl>
    <w:p w:rsidR="00C46876" w:rsidRDefault="00C46876" w:rsidP="00C46876">
      <w:pPr>
        <w:suppressLineNumbers/>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C46876" w:rsidTr="00C46876">
        <w:trPr>
          <w:jc w:val="center"/>
        </w:trPr>
        <w:tc>
          <w:tcPr>
            <w:tcW w:w="743" w:type="dxa"/>
            <w:hideMark/>
          </w:tcPr>
          <w:p w:rsidR="00C46876" w:rsidRDefault="00C46876">
            <w:pPr>
              <w:suppressLineNumbers/>
              <w:jc w:val="both"/>
              <w:rPr>
                <w:rFonts w:ascii="Arial" w:hAnsi="Arial"/>
                <w:b/>
                <w:bCs/>
                <w:sz w:val="26"/>
                <w:szCs w:val="26"/>
                <w:rtl/>
              </w:rPr>
            </w:pPr>
            <w:r>
              <w:rPr>
                <w:rFonts w:ascii="Arial" w:hAnsi="Arial"/>
                <w:b/>
                <w:bCs/>
                <w:sz w:val="26"/>
                <w:szCs w:val="26"/>
                <w:rtl/>
              </w:rPr>
              <w:t xml:space="preserve">בפני </w:t>
            </w:r>
          </w:p>
        </w:tc>
        <w:tc>
          <w:tcPr>
            <w:tcW w:w="8077" w:type="dxa"/>
            <w:hideMark/>
          </w:tcPr>
          <w:p w:rsidR="00C46876" w:rsidRDefault="00C46876">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bl>
    <w:p w:rsidR="00C46876" w:rsidRDefault="00C46876" w:rsidP="00C46876">
      <w:pPr>
        <w:spacing w:line="360" w:lineRule="auto"/>
        <w:jc w:val="both"/>
        <w:rPr>
          <w:rFonts w:ascii="Arial" w:hAnsi="Arial"/>
          <w:noProof w:val="0"/>
        </w:rPr>
      </w:pPr>
      <w:bookmarkStart w:id="1" w:name="NGCSBookmark"/>
      <w:bookmarkEnd w:id="1"/>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C46876" w:rsidTr="00C46876">
        <w:trPr>
          <w:jc w:val="center"/>
        </w:trPr>
        <w:tc>
          <w:tcPr>
            <w:tcW w:w="3249" w:type="dxa"/>
          </w:tcPr>
          <w:p w:rsidR="00C46876" w:rsidRDefault="00C46876">
            <w:pPr>
              <w:suppressLineNumbers/>
              <w:rPr>
                <w:rFonts w:ascii="Arial" w:hAnsi="Arial"/>
                <w:b/>
                <w:bCs/>
                <w:noProof w:val="0"/>
                <w:sz w:val="26"/>
                <w:szCs w:val="26"/>
                <w:rtl/>
              </w:rPr>
            </w:pPr>
          </w:p>
          <w:p w:rsidR="00C46876" w:rsidRDefault="00C46876">
            <w:pPr>
              <w:suppressLineNumbers/>
              <w:jc w:val="left"/>
              <w:rPr>
                <w:rFonts w:ascii="Arial" w:hAnsi="Arial"/>
                <w:b/>
                <w:bCs/>
                <w:noProof w:val="0"/>
                <w:sz w:val="26"/>
                <w:szCs w:val="26"/>
              </w:rPr>
            </w:pPr>
            <w:r>
              <w:rPr>
                <w:rFonts w:ascii="Arial" w:hAnsi="Arial"/>
                <w:b/>
                <w:bCs/>
                <w:noProof w:val="0"/>
                <w:sz w:val="26"/>
                <w:szCs w:val="26"/>
                <w:rtl/>
              </w:rPr>
              <w:t>מבקש</w:t>
            </w:r>
          </w:p>
        </w:tc>
        <w:tc>
          <w:tcPr>
            <w:tcW w:w="5571" w:type="dxa"/>
          </w:tcPr>
          <w:p w:rsidR="00C46876" w:rsidRDefault="00C46876">
            <w:pPr>
              <w:suppressLineNumbers/>
              <w:rPr>
                <w:rFonts w:ascii="Arial" w:hAnsi="Arial"/>
                <w:b/>
                <w:bCs/>
                <w:noProof w:val="0"/>
                <w:sz w:val="26"/>
                <w:szCs w:val="26"/>
              </w:rPr>
            </w:pPr>
          </w:p>
          <w:p w:rsidR="00C46876" w:rsidRDefault="00C46876" w:rsidP="00C46876">
            <w:pPr>
              <w:suppressLineNumbers/>
              <w:jc w:val="left"/>
              <w:rPr>
                <w:b/>
                <w:bCs/>
                <w:noProof w:val="0"/>
                <w:sz w:val="26"/>
                <w:szCs w:val="26"/>
                <w:rtl/>
              </w:rPr>
            </w:pPr>
            <w:r>
              <w:rPr>
                <w:rFonts w:ascii="Arial" w:hAnsi="Arial"/>
                <w:b/>
                <w:bCs/>
                <w:noProof w:val="0"/>
                <w:sz w:val="26"/>
                <w:szCs w:val="26"/>
                <w:rtl/>
              </w:rPr>
              <w:t>י</w:t>
            </w:r>
            <w:r>
              <w:rPr>
                <w:rFonts w:ascii="Arial" w:hAnsi="Arial" w:hint="cs"/>
                <w:b/>
                <w:bCs/>
                <w:noProof w:val="0"/>
                <w:sz w:val="26"/>
                <w:szCs w:val="26"/>
                <w:rtl/>
              </w:rPr>
              <w:t xml:space="preserve">. </w:t>
            </w:r>
            <w:r>
              <w:rPr>
                <w:rFonts w:ascii="Arial" w:hAnsi="Arial"/>
                <w:b/>
                <w:bCs/>
                <w:noProof w:val="0"/>
                <w:sz w:val="26"/>
                <w:szCs w:val="26"/>
                <w:rtl/>
              </w:rPr>
              <w:t>ר</w:t>
            </w:r>
            <w:r>
              <w:rPr>
                <w:rFonts w:ascii="Arial" w:hAnsi="Arial" w:hint="cs"/>
                <w:b/>
                <w:bCs/>
                <w:noProof w:val="0"/>
                <w:sz w:val="26"/>
                <w:szCs w:val="26"/>
                <w:rtl/>
              </w:rPr>
              <w:t>.</w:t>
            </w:r>
            <w:r>
              <w:rPr>
                <w:rFonts w:ascii="Arial" w:hAnsi="Arial"/>
                <w:b/>
                <w:bCs/>
                <w:noProof w:val="0"/>
                <w:sz w:val="26"/>
                <w:szCs w:val="26"/>
                <w:rtl/>
              </w:rPr>
              <w:t xml:space="preserve">  </w:t>
            </w:r>
          </w:p>
          <w:p w:rsidR="00C46876" w:rsidRDefault="00C46876">
            <w:pPr>
              <w:suppressLineNumbers/>
              <w:jc w:val="left"/>
              <w:rPr>
                <w:noProof w:val="0"/>
                <w:rtl/>
              </w:rPr>
            </w:pPr>
            <w:r>
              <w:rPr>
                <w:noProof w:val="0"/>
                <w:rtl/>
              </w:rPr>
              <w:t xml:space="preserve">מיוצג ע"י ב"כ עוה"ד דורון </w:t>
            </w:r>
            <w:proofErr w:type="spellStart"/>
            <w:r>
              <w:rPr>
                <w:noProof w:val="0"/>
                <w:rtl/>
              </w:rPr>
              <w:t>קילשטיין</w:t>
            </w:r>
            <w:proofErr w:type="spellEnd"/>
            <w:r>
              <w:rPr>
                <w:noProof w:val="0"/>
                <w:rtl/>
              </w:rPr>
              <w:t xml:space="preserve"> ויצחק </w:t>
            </w:r>
            <w:proofErr w:type="spellStart"/>
            <w:r>
              <w:rPr>
                <w:noProof w:val="0"/>
                <w:rtl/>
              </w:rPr>
              <w:t>רבינוביץ</w:t>
            </w:r>
            <w:proofErr w:type="spellEnd"/>
          </w:p>
        </w:tc>
      </w:tr>
      <w:tr w:rsidR="00C46876" w:rsidTr="00C46876">
        <w:trPr>
          <w:jc w:val="center"/>
        </w:trPr>
        <w:tc>
          <w:tcPr>
            <w:tcW w:w="8820" w:type="dxa"/>
            <w:gridSpan w:val="2"/>
          </w:tcPr>
          <w:p w:rsidR="00C46876" w:rsidRDefault="00C46876">
            <w:pPr>
              <w:suppressLineNumbers/>
              <w:rPr>
                <w:rFonts w:ascii="Arial" w:hAnsi="Arial"/>
                <w:b/>
                <w:bCs/>
                <w:noProof w:val="0"/>
                <w:sz w:val="26"/>
                <w:szCs w:val="26"/>
                <w:rtl/>
              </w:rPr>
            </w:pPr>
          </w:p>
          <w:p w:rsidR="00C46876" w:rsidRDefault="00C46876">
            <w:pPr>
              <w:suppressLineNumbers/>
              <w:jc w:val="center"/>
              <w:rPr>
                <w:rFonts w:ascii="Arial" w:hAnsi="Arial"/>
                <w:b/>
                <w:bCs/>
                <w:noProof w:val="0"/>
                <w:sz w:val="26"/>
                <w:szCs w:val="26"/>
              </w:rPr>
            </w:pPr>
            <w:r>
              <w:rPr>
                <w:rFonts w:ascii="Arial" w:hAnsi="Arial"/>
                <w:b/>
                <w:bCs/>
                <w:noProof w:val="0"/>
                <w:sz w:val="26"/>
                <w:szCs w:val="26"/>
                <w:rtl/>
              </w:rPr>
              <w:t>נגד</w:t>
            </w:r>
          </w:p>
        </w:tc>
      </w:tr>
      <w:tr w:rsidR="00C46876" w:rsidTr="00C46876">
        <w:trPr>
          <w:jc w:val="center"/>
        </w:trPr>
        <w:tc>
          <w:tcPr>
            <w:tcW w:w="3249" w:type="dxa"/>
            <w:hideMark/>
          </w:tcPr>
          <w:p w:rsidR="00C46876" w:rsidRDefault="00C46876">
            <w:pPr>
              <w:suppressLineNumbers/>
              <w:jc w:val="left"/>
              <w:rPr>
                <w:rFonts w:ascii="Arial" w:hAnsi="Arial"/>
                <w:b/>
                <w:bCs/>
                <w:noProof w:val="0"/>
                <w:sz w:val="26"/>
                <w:szCs w:val="26"/>
                <w:rtl/>
              </w:rPr>
            </w:pPr>
            <w:r>
              <w:rPr>
                <w:rFonts w:ascii="Arial" w:hAnsi="Arial"/>
                <w:b/>
                <w:bCs/>
                <w:noProof w:val="0"/>
                <w:sz w:val="26"/>
                <w:szCs w:val="26"/>
                <w:rtl/>
              </w:rPr>
              <w:t>משיבים</w:t>
            </w:r>
          </w:p>
        </w:tc>
        <w:tc>
          <w:tcPr>
            <w:tcW w:w="5571" w:type="dxa"/>
          </w:tcPr>
          <w:p w:rsidR="00C46876" w:rsidRDefault="00C46876">
            <w:pPr>
              <w:suppressLineNumbers/>
              <w:rPr>
                <w:b/>
                <w:bCs/>
                <w:noProof w:val="0"/>
                <w:sz w:val="26"/>
                <w:szCs w:val="26"/>
              </w:rPr>
            </w:pPr>
          </w:p>
          <w:p w:rsidR="00C46876" w:rsidRDefault="00C46876" w:rsidP="00C46876">
            <w:pPr>
              <w:suppressLineNumbers/>
              <w:jc w:val="left"/>
              <w:rPr>
                <w:rFonts w:ascii="Arial" w:hAnsi="Arial"/>
                <w:b/>
                <w:bCs/>
                <w:noProof w:val="0"/>
                <w:sz w:val="26"/>
                <w:szCs w:val="26"/>
              </w:rPr>
            </w:pPr>
            <w:r>
              <w:rPr>
                <w:rFonts w:ascii="Arial" w:hAnsi="Arial"/>
                <w:b/>
                <w:bCs/>
                <w:noProof w:val="0"/>
                <w:sz w:val="26"/>
                <w:szCs w:val="26"/>
                <w:rtl/>
              </w:rPr>
              <w:t>1.  נ</w:t>
            </w:r>
            <w:r>
              <w:rPr>
                <w:rFonts w:ascii="Arial" w:hAnsi="Arial" w:hint="cs"/>
                <w:b/>
                <w:bCs/>
                <w:noProof w:val="0"/>
                <w:sz w:val="26"/>
                <w:szCs w:val="26"/>
                <w:rtl/>
              </w:rPr>
              <w:t>.</w:t>
            </w:r>
            <w:r>
              <w:rPr>
                <w:rFonts w:ascii="Arial" w:hAnsi="Arial"/>
                <w:b/>
                <w:bCs/>
                <w:noProof w:val="0"/>
                <w:sz w:val="26"/>
                <w:szCs w:val="26"/>
                <w:rtl/>
              </w:rPr>
              <w:t xml:space="preserve"> פ</w:t>
            </w:r>
            <w:r>
              <w:rPr>
                <w:rFonts w:ascii="Arial" w:hAnsi="Arial" w:hint="cs"/>
                <w:b/>
                <w:bCs/>
                <w:noProof w:val="0"/>
                <w:sz w:val="26"/>
                <w:szCs w:val="26"/>
                <w:rtl/>
              </w:rPr>
              <w:t>.</w:t>
            </w:r>
          </w:p>
          <w:p w:rsidR="00C46876" w:rsidRDefault="00C46876">
            <w:pPr>
              <w:suppressLineNumbers/>
              <w:jc w:val="left"/>
              <w:rPr>
                <w:rFonts w:ascii="Arial" w:hAnsi="Arial"/>
                <w:noProof w:val="0"/>
                <w:rtl/>
              </w:rPr>
            </w:pPr>
            <w:r>
              <w:rPr>
                <w:rFonts w:ascii="Arial" w:hAnsi="Arial"/>
                <w:b/>
                <w:bCs/>
                <w:noProof w:val="0"/>
                <w:sz w:val="26"/>
                <w:szCs w:val="26"/>
                <w:rtl/>
              </w:rPr>
              <w:t xml:space="preserve">    </w:t>
            </w:r>
            <w:r>
              <w:rPr>
                <w:rFonts w:ascii="Arial" w:hAnsi="Arial"/>
                <w:noProof w:val="0"/>
                <w:rtl/>
              </w:rPr>
              <w:t xml:space="preserve">מיוצג ע"י עוה"ד  בועז בן צור ודקלה  </w:t>
            </w:r>
            <w:proofErr w:type="spellStart"/>
            <w:r>
              <w:rPr>
                <w:rFonts w:ascii="Arial" w:hAnsi="Arial"/>
                <w:noProof w:val="0"/>
                <w:rtl/>
              </w:rPr>
              <w:t>סורקיס</w:t>
            </w:r>
            <w:proofErr w:type="spellEnd"/>
          </w:p>
          <w:p w:rsidR="00C46876" w:rsidRDefault="00C46876">
            <w:pPr>
              <w:suppressLineNumbers/>
              <w:rPr>
                <w:rFonts w:ascii="Arial" w:hAnsi="Arial"/>
                <w:noProof w:val="0"/>
                <w:rtl/>
              </w:rPr>
            </w:pPr>
          </w:p>
          <w:p w:rsidR="00C46876" w:rsidRDefault="00C46876" w:rsidP="00C46876">
            <w:pPr>
              <w:suppressLineNumbers/>
              <w:jc w:val="left"/>
              <w:rPr>
                <w:rFonts w:ascii="Arial" w:hAnsi="Arial"/>
                <w:b/>
                <w:bCs/>
                <w:noProof w:val="0"/>
                <w:sz w:val="26"/>
                <w:szCs w:val="26"/>
                <w:rtl/>
              </w:rPr>
            </w:pPr>
            <w:r>
              <w:rPr>
                <w:rFonts w:ascii="Arial" w:hAnsi="Arial"/>
                <w:b/>
                <w:bCs/>
                <w:noProof w:val="0"/>
                <w:sz w:val="26"/>
                <w:szCs w:val="26"/>
                <w:rtl/>
              </w:rPr>
              <w:t>2.  א</w:t>
            </w:r>
            <w:r>
              <w:rPr>
                <w:rFonts w:ascii="Arial" w:hAnsi="Arial" w:hint="cs"/>
                <w:b/>
                <w:bCs/>
                <w:noProof w:val="0"/>
                <w:sz w:val="26"/>
                <w:szCs w:val="26"/>
                <w:rtl/>
              </w:rPr>
              <w:t>.</w:t>
            </w:r>
            <w:r>
              <w:rPr>
                <w:rFonts w:ascii="Arial" w:hAnsi="Arial"/>
                <w:b/>
                <w:bCs/>
                <w:noProof w:val="0"/>
                <w:sz w:val="26"/>
                <w:szCs w:val="26"/>
                <w:rtl/>
              </w:rPr>
              <w:t xml:space="preserve"> פ</w:t>
            </w:r>
            <w:r>
              <w:rPr>
                <w:rFonts w:ascii="Arial" w:hAnsi="Arial" w:hint="cs"/>
                <w:b/>
                <w:bCs/>
                <w:noProof w:val="0"/>
                <w:sz w:val="26"/>
                <w:szCs w:val="26"/>
                <w:rtl/>
              </w:rPr>
              <w:t>.</w:t>
            </w:r>
          </w:p>
          <w:p w:rsidR="00C46876" w:rsidRDefault="00C46876" w:rsidP="00C46876">
            <w:pPr>
              <w:suppressLineNumbers/>
              <w:jc w:val="left"/>
              <w:rPr>
                <w:rFonts w:ascii="Arial" w:hAnsi="Arial"/>
                <w:b/>
                <w:bCs/>
                <w:noProof w:val="0"/>
                <w:sz w:val="26"/>
                <w:szCs w:val="26"/>
                <w:rtl/>
              </w:rPr>
            </w:pPr>
            <w:r>
              <w:rPr>
                <w:rFonts w:ascii="Arial" w:hAnsi="Arial"/>
                <w:b/>
                <w:bCs/>
                <w:noProof w:val="0"/>
                <w:sz w:val="26"/>
                <w:szCs w:val="26"/>
                <w:rtl/>
              </w:rPr>
              <w:t>3. ר</w:t>
            </w:r>
            <w:r>
              <w:rPr>
                <w:rFonts w:ascii="Arial" w:hAnsi="Arial" w:hint="cs"/>
                <w:b/>
                <w:bCs/>
                <w:noProof w:val="0"/>
                <w:sz w:val="26"/>
                <w:szCs w:val="26"/>
                <w:rtl/>
              </w:rPr>
              <w:t>.</w:t>
            </w:r>
            <w:r>
              <w:rPr>
                <w:rFonts w:ascii="Arial" w:hAnsi="Arial"/>
                <w:b/>
                <w:bCs/>
                <w:noProof w:val="0"/>
                <w:sz w:val="26"/>
                <w:szCs w:val="26"/>
                <w:rtl/>
              </w:rPr>
              <w:t xml:space="preserve"> פ</w:t>
            </w:r>
            <w:r>
              <w:rPr>
                <w:rFonts w:ascii="Arial" w:hAnsi="Arial" w:hint="cs"/>
                <w:b/>
                <w:bCs/>
                <w:noProof w:val="0"/>
                <w:sz w:val="26"/>
                <w:szCs w:val="26"/>
                <w:rtl/>
              </w:rPr>
              <w:t>.</w:t>
            </w:r>
          </w:p>
          <w:p w:rsidR="00C46876" w:rsidRDefault="00C46876">
            <w:pPr>
              <w:suppressLineNumbers/>
              <w:jc w:val="left"/>
              <w:rPr>
                <w:rFonts w:ascii="Arial" w:hAnsi="Arial"/>
                <w:noProof w:val="0"/>
                <w:rtl/>
              </w:rPr>
            </w:pPr>
            <w:r>
              <w:rPr>
                <w:rFonts w:ascii="Arial" w:hAnsi="Arial"/>
                <w:b/>
                <w:bCs/>
                <w:noProof w:val="0"/>
                <w:sz w:val="26"/>
                <w:szCs w:val="26"/>
                <w:rtl/>
              </w:rPr>
              <w:t xml:space="preserve">   </w:t>
            </w:r>
            <w:r>
              <w:rPr>
                <w:rFonts w:ascii="Arial" w:hAnsi="Arial"/>
                <w:noProof w:val="0"/>
                <w:rtl/>
              </w:rPr>
              <w:t>שניהם מיוצגים ע"י עו"ד עמית גל</w:t>
            </w:r>
          </w:p>
          <w:p w:rsidR="00C46876" w:rsidRDefault="00C46876">
            <w:pPr>
              <w:suppressLineNumbers/>
              <w:rPr>
                <w:rFonts w:ascii="Arial" w:hAnsi="Arial"/>
                <w:noProof w:val="0"/>
                <w:rtl/>
              </w:rPr>
            </w:pPr>
          </w:p>
          <w:p w:rsidR="00C46876" w:rsidRDefault="00C46876" w:rsidP="00C46876">
            <w:pPr>
              <w:suppressLineNumbers/>
              <w:jc w:val="left"/>
              <w:rPr>
                <w:rFonts w:ascii="Arial" w:hAnsi="Arial"/>
                <w:b/>
                <w:bCs/>
                <w:noProof w:val="0"/>
                <w:sz w:val="26"/>
                <w:szCs w:val="26"/>
                <w:rtl/>
              </w:rPr>
            </w:pPr>
            <w:r>
              <w:rPr>
                <w:rFonts w:ascii="Arial" w:hAnsi="Arial"/>
                <w:noProof w:val="0"/>
                <w:rtl/>
              </w:rPr>
              <w:t>4</w:t>
            </w:r>
            <w:r>
              <w:rPr>
                <w:rFonts w:ascii="Arial" w:hAnsi="Arial"/>
                <w:b/>
                <w:bCs/>
                <w:noProof w:val="0"/>
                <w:sz w:val="26"/>
                <w:szCs w:val="26"/>
                <w:rtl/>
              </w:rPr>
              <w:t>. א</w:t>
            </w:r>
            <w:r>
              <w:rPr>
                <w:rFonts w:ascii="Arial" w:hAnsi="Arial" w:hint="cs"/>
                <w:b/>
                <w:bCs/>
                <w:noProof w:val="0"/>
                <w:sz w:val="26"/>
                <w:szCs w:val="26"/>
                <w:rtl/>
              </w:rPr>
              <w:t>.</w:t>
            </w:r>
            <w:r>
              <w:rPr>
                <w:rFonts w:ascii="Arial" w:hAnsi="Arial"/>
                <w:b/>
                <w:bCs/>
                <w:noProof w:val="0"/>
                <w:sz w:val="26"/>
                <w:szCs w:val="26"/>
                <w:rtl/>
              </w:rPr>
              <w:t>פ</w:t>
            </w:r>
            <w:r>
              <w:rPr>
                <w:rFonts w:ascii="Arial" w:hAnsi="Arial" w:hint="cs"/>
                <w:b/>
                <w:bCs/>
                <w:noProof w:val="0"/>
                <w:sz w:val="26"/>
                <w:szCs w:val="26"/>
                <w:rtl/>
              </w:rPr>
              <w:t>.</w:t>
            </w:r>
          </w:p>
          <w:p w:rsidR="00C46876" w:rsidRDefault="00C46876">
            <w:pPr>
              <w:suppressLineNumbers/>
              <w:jc w:val="left"/>
              <w:rPr>
                <w:rFonts w:ascii="Arial" w:hAnsi="Arial"/>
                <w:noProof w:val="0"/>
                <w:rtl/>
              </w:rPr>
            </w:pPr>
            <w:r>
              <w:rPr>
                <w:rFonts w:ascii="Arial" w:hAnsi="Arial"/>
                <w:b/>
                <w:bCs/>
                <w:noProof w:val="0"/>
                <w:sz w:val="26"/>
                <w:szCs w:val="26"/>
                <w:rtl/>
              </w:rPr>
              <w:t xml:space="preserve">    </w:t>
            </w:r>
            <w:r>
              <w:rPr>
                <w:rFonts w:ascii="Arial" w:hAnsi="Arial"/>
                <w:noProof w:val="0"/>
                <w:rtl/>
              </w:rPr>
              <w:t xml:space="preserve">מיוצגת ע"י ב"כ עוה"ד אלי </w:t>
            </w:r>
            <w:proofErr w:type="spellStart"/>
            <w:r>
              <w:rPr>
                <w:rFonts w:ascii="Arial" w:hAnsi="Arial"/>
                <w:noProof w:val="0"/>
                <w:rtl/>
              </w:rPr>
              <w:t>שמילוביץ</w:t>
            </w:r>
            <w:proofErr w:type="spellEnd"/>
            <w:r>
              <w:rPr>
                <w:rFonts w:ascii="Arial" w:hAnsi="Arial"/>
                <w:noProof w:val="0"/>
                <w:rtl/>
              </w:rPr>
              <w:t xml:space="preserve"> וניצן </w:t>
            </w:r>
            <w:proofErr w:type="spellStart"/>
            <w:r>
              <w:rPr>
                <w:rFonts w:ascii="Arial" w:hAnsi="Arial"/>
                <w:noProof w:val="0"/>
                <w:rtl/>
              </w:rPr>
              <w:t>אבגין</w:t>
            </w:r>
            <w:proofErr w:type="spellEnd"/>
          </w:p>
          <w:p w:rsidR="00C46876" w:rsidRDefault="00C46876">
            <w:pPr>
              <w:suppressLineNumbers/>
              <w:rPr>
                <w:rFonts w:ascii="Arial" w:hAnsi="Arial"/>
                <w:b/>
                <w:bCs/>
                <w:noProof w:val="0"/>
                <w:sz w:val="26"/>
                <w:szCs w:val="26"/>
                <w:rtl/>
              </w:rPr>
            </w:pPr>
          </w:p>
          <w:p w:rsidR="00C46876" w:rsidRDefault="00C46876" w:rsidP="00C46876">
            <w:pPr>
              <w:suppressLineNumbers/>
              <w:jc w:val="left"/>
              <w:rPr>
                <w:rFonts w:ascii="Arial" w:hAnsi="Arial"/>
                <w:b/>
                <w:bCs/>
                <w:noProof w:val="0"/>
                <w:sz w:val="26"/>
                <w:szCs w:val="26"/>
                <w:rtl/>
              </w:rPr>
            </w:pPr>
            <w:r>
              <w:rPr>
                <w:rFonts w:ascii="Arial" w:hAnsi="Arial"/>
                <w:b/>
                <w:bCs/>
                <w:noProof w:val="0"/>
                <w:sz w:val="26"/>
                <w:szCs w:val="26"/>
                <w:rtl/>
              </w:rPr>
              <w:t>5. ש</w:t>
            </w:r>
            <w:r>
              <w:rPr>
                <w:rFonts w:ascii="Arial" w:hAnsi="Arial" w:hint="cs"/>
                <w:b/>
                <w:bCs/>
                <w:noProof w:val="0"/>
                <w:sz w:val="26"/>
                <w:szCs w:val="26"/>
                <w:rtl/>
              </w:rPr>
              <w:t>.</w:t>
            </w:r>
            <w:r>
              <w:rPr>
                <w:rFonts w:ascii="Arial" w:hAnsi="Arial"/>
                <w:b/>
                <w:bCs/>
                <w:noProof w:val="0"/>
                <w:sz w:val="26"/>
                <w:szCs w:val="26"/>
                <w:rtl/>
              </w:rPr>
              <w:t xml:space="preserve"> פ</w:t>
            </w:r>
            <w:r>
              <w:rPr>
                <w:rFonts w:ascii="Arial" w:hAnsi="Arial" w:hint="cs"/>
                <w:b/>
                <w:bCs/>
                <w:noProof w:val="0"/>
                <w:sz w:val="26"/>
                <w:szCs w:val="26"/>
                <w:rtl/>
              </w:rPr>
              <w:t>.</w:t>
            </w:r>
          </w:p>
          <w:p w:rsidR="00C46876" w:rsidRDefault="00C46876">
            <w:pPr>
              <w:suppressLineNumbers/>
              <w:rPr>
                <w:rFonts w:ascii="Arial" w:hAnsi="Arial"/>
                <w:b/>
                <w:bCs/>
                <w:noProof w:val="0"/>
                <w:sz w:val="26"/>
                <w:szCs w:val="26"/>
                <w:rtl/>
              </w:rPr>
            </w:pPr>
          </w:p>
          <w:p w:rsidR="00C46876" w:rsidRDefault="00C46876" w:rsidP="00C46876">
            <w:pPr>
              <w:suppressLineNumbers/>
              <w:jc w:val="left"/>
              <w:rPr>
                <w:rFonts w:ascii="Arial" w:hAnsi="Arial"/>
                <w:b/>
                <w:bCs/>
                <w:noProof w:val="0"/>
                <w:sz w:val="26"/>
                <w:szCs w:val="26"/>
                <w:rtl/>
              </w:rPr>
            </w:pPr>
            <w:r>
              <w:rPr>
                <w:rFonts w:ascii="Arial" w:hAnsi="Arial"/>
                <w:b/>
                <w:bCs/>
                <w:noProof w:val="0"/>
                <w:sz w:val="26"/>
                <w:szCs w:val="26"/>
                <w:rtl/>
              </w:rPr>
              <w:t>6. ת</w:t>
            </w:r>
            <w:r>
              <w:rPr>
                <w:rFonts w:ascii="Arial" w:hAnsi="Arial" w:hint="cs"/>
                <w:b/>
                <w:bCs/>
                <w:noProof w:val="0"/>
                <w:sz w:val="26"/>
                <w:szCs w:val="26"/>
                <w:rtl/>
              </w:rPr>
              <w:t>.</w:t>
            </w:r>
            <w:r>
              <w:rPr>
                <w:rFonts w:ascii="Arial" w:hAnsi="Arial"/>
                <w:b/>
                <w:bCs/>
                <w:noProof w:val="0"/>
                <w:sz w:val="26"/>
                <w:szCs w:val="26"/>
                <w:rtl/>
              </w:rPr>
              <w:t xml:space="preserve"> פ</w:t>
            </w:r>
            <w:r>
              <w:rPr>
                <w:rFonts w:ascii="Arial" w:hAnsi="Arial" w:hint="cs"/>
                <w:b/>
                <w:bCs/>
                <w:noProof w:val="0"/>
                <w:sz w:val="26"/>
                <w:szCs w:val="26"/>
                <w:rtl/>
              </w:rPr>
              <w:t>.</w:t>
            </w:r>
            <w:r>
              <w:rPr>
                <w:rFonts w:ascii="Arial" w:hAnsi="Arial"/>
                <w:b/>
                <w:bCs/>
                <w:noProof w:val="0"/>
                <w:sz w:val="26"/>
                <w:szCs w:val="26"/>
                <w:rtl/>
              </w:rPr>
              <w:t xml:space="preserve"> </w:t>
            </w:r>
          </w:p>
          <w:p w:rsidR="00C46876" w:rsidRDefault="00C46876">
            <w:pPr>
              <w:suppressLineNumbers/>
              <w:rPr>
                <w:rFonts w:ascii="Arial" w:hAnsi="Arial"/>
                <w:b/>
                <w:bCs/>
                <w:noProof w:val="0"/>
                <w:sz w:val="26"/>
                <w:szCs w:val="26"/>
                <w:rtl/>
              </w:rPr>
            </w:pPr>
          </w:p>
          <w:p w:rsidR="00C46876" w:rsidRDefault="00C46876" w:rsidP="00C46876">
            <w:pPr>
              <w:suppressLineNumbers/>
              <w:jc w:val="left"/>
              <w:rPr>
                <w:rFonts w:ascii="Arial" w:hAnsi="Arial"/>
                <w:b/>
                <w:bCs/>
                <w:noProof w:val="0"/>
                <w:sz w:val="26"/>
                <w:szCs w:val="26"/>
                <w:rtl/>
              </w:rPr>
            </w:pPr>
            <w:r>
              <w:rPr>
                <w:rFonts w:ascii="Arial" w:hAnsi="Arial"/>
                <w:b/>
                <w:bCs/>
                <w:noProof w:val="0"/>
                <w:sz w:val="26"/>
                <w:szCs w:val="26"/>
                <w:rtl/>
              </w:rPr>
              <w:t>7. ח</w:t>
            </w:r>
            <w:r>
              <w:rPr>
                <w:rFonts w:ascii="Arial" w:hAnsi="Arial" w:hint="cs"/>
                <w:b/>
                <w:bCs/>
                <w:noProof w:val="0"/>
                <w:sz w:val="26"/>
                <w:szCs w:val="26"/>
                <w:rtl/>
              </w:rPr>
              <w:t>.</w:t>
            </w:r>
            <w:r>
              <w:rPr>
                <w:rFonts w:ascii="Arial" w:hAnsi="Arial"/>
                <w:b/>
                <w:bCs/>
                <w:noProof w:val="0"/>
                <w:sz w:val="26"/>
                <w:szCs w:val="26"/>
                <w:rtl/>
              </w:rPr>
              <w:t>פ</w:t>
            </w:r>
            <w:r>
              <w:rPr>
                <w:rFonts w:ascii="Arial" w:hAnsi="Arial" w:hint="cs"/>
                <w:b/>
                <w:bCs/>
                <w:noProof w:val="0"/>
                <w:sz w:val="26"/>
                <w:szCs w:val="26"/>
                <w:rtl/>
              </w:rPr>
              <w:t>.</w:t>
            </w:r>
            <w:r>
              <w:rPr>
                <w:rFonts w:ascii="Arial" w:hAnsi="Arial"/>
                <w:b/>
                <w:bCs/>
                <w:noProof w:val="0"/>
                <w:sz w:val="26"/>
                <w:szCs w:val="26"/>
                <w:rtl/>
              </w:rPr>
              <w:t xml:space="preserve"> </w:t>
            </w:r>
          </w:p>
          <w:p w:rsidR="00C46876" w:rsidRDefault="00C46876">
            <w:pPr>
              <w:suppressLineNumbers/>
              <w:jc w:val="left"/>
              <w:rPr>
                <w:rFonts w:ascii="Arial" w:hAnsi="Arial"/>
                <w:noProof w:val="0"/>
                <w:rtl/>
              </w:rPr>
            </w:pPr>
            <w:r>
              <w:rPr>
                <w:rFonts w:ascii="Arial" w:hAnsi="Arial"/>
                <w:b/>
                <w:bCs/>
                <w:noProof w:val="0"/>
                <w:sz w:val="26"/>
                <w:szCs w:val="26"/>
                <w:rtl/>
              </w:rPr>
              <w:t xml:space="preserve">   </w:t>
            </w:r>
            <w:r>
              <w:rPr>
                <w:rFonts w:ascii="Arial" w:hAnsi="Arial"/>
                <w:noProof w:val="0"/>
                <w:rtl/>
              </w:rPr>
              <w:t xml:space="preserve">מיוצגת ע"י עו"ד א. </w:t>
            </w:r>
            <w:proofErr w:type="spellStart"/>
            <w:r>
              <w:rPr>
                <w:rFonts w:ascii="Arial" w:hAnsi="Arial"/>
                <w:noProof w:val="0"/>
                <w:rtl/>
              </w:rPr>
              <w:t>אברמוב</w:t>
            </w:r>
            <w:proofErr w:type="spellEnd"/>
          </w:p>
          <w:p w:rsidR="00C46876" w:rsidRDefault="00C46876">
            <w:pPr>
              <w:suppressLineNumbers/>
              <w:rPr>
                <w:rFonts w:ascii="Arial" w:hAnsi="Arial"/>
                <w:b/>
                <w:bCs/>
                <w:noProof w:val="0"/>
                <w:sz w:val="26"/>
                <w:szCs w:val="26"/>
                <w:rtl/>
              </w:rPr>
            </w:pPr>
          </w:p>
          <w:p w:rsidR="00C46876" w:rsidRDefault="00C46876">
            <w:pPr>
              <w:suppressLineNumbers/>
              <w:jc w:val="left"/>
              <w:rPr>
                <w:rFonts w:ascii="Arial" w:hAnsi="Arial"/>
                <w:noProof w:val="0"/>
                <w:rtl/>
              </w:rPr>
            </w:pPr>
            <w:r>
              <w:rPr>
                <w:rFonts w:ascii="Arial" w:hAnsi="Arial"/>
                <w:b/>
                <w:bCs/>
                <w:noProof w:val="0"/>
                <w:sz w:val="26"/>
                <w:szCs w:val="26"/>
                <w:rtl/>
              </w:rPr>
              <w:t>8. היועצת המשפטית לממשלה</w:t>
            </w:r>
            <w:r>
              <w:rPr>
                <w:rFonts w:ascii="Arial" w:hAnsi="Arial"/>
                <w:noProof w:val="0"/>
                <w:rtl/>
              </w:rPr>
              <w:t xml:space="preserve"> </w:t>
            </w:r>
          </w:p>
          <w:p w:rsidR="00C46876" w:rsidRDefault="00C46876">
            <w:pPr>
              <w:suppressLineNumbers/>
              <w:jc w:val="left"/>
              <w:rPr>
                <w:rFonts w:ascii="Arial" w:hAnsi="Arial"/>
                <w:noProof w:val="0"/>
                <w:rtl/>
              </w:rPr>
            </w:pPr>
            <w:r>
              <w:rPr>
                <w:rFonts w:ascii="Arial" w:hAnsi="Arial"/>
                <w:noProof w:val="0"/>
                <w:rtl/>
              </w:rPr>
              <w:t xml:space="preserve">     מיוצגת ע"י ב"כ עו"ד חנית </w:t>
            </w:r>
            <w:proofErr w:type="spellStart"/>
            <w:r>
              <w:rPr>
                <w:rFonts w:ascii="Arial" w:hAnsi="Arial"/>
                <w:noProof w:val="0"/>
                <w:rtl/>
              </w:rPr>
              <w:t>מרריס</w:t>
            </w:r>
            <w:proofErr w:type="spellEnd"/>
            <w:r>
              <w:rPr>
                <w:rFonts w:ascii="Arial" w:hAnsi="Arial"/>
                <w:noProof w:val="0"/>
                <w:rtl/>
              </w:rPr>
              <w:t xml:space="preserve"> במשרד העבודה    </w:t>
            </w:r>
          </w:p>
          <w:p w:rsidR="00C46876" w:rsidRDefault="00C46876">
            <w:pPr>
              <w:suppressLineNumbers/>
              <w:jc w:val="left"/>
              <w:rPr>
                <w:rFonts w:ascii="Arial" w:hAnsi="Arial"/>
                <w:b/>
                <w:bCs/>
                <w:noProof w:val="0"/>
                <w:sz w:val="26"/>
                <w:szCs w:val="26"/>
                <w:rtl/>
              </w:rPr>
            </w:pPr>
            <w:r>
              <w:rPr>
                <w:rFonts w:ascii="Arial" w:hAnsi="Arial"/>
                <w:noProof w:val="0"/>
                <w:rtl/>
              </w:rPr>
              <w:t xml:space="preserve">     והביטחון החברתי </w:t>
            </w:r>
          </w:p>
        </w:tc>
      </w:tr>
      <w:tr w:rsidR="00C46876" w:rsidTr="00C46876">
        <w:trPr>
          <w:jc w:val="center"/>
        </w:trPr>
        <w:tc>
          <w:tcPr>
            <w:tcW w:w="3249" w:type="dxa"/>
          </w:tcPr>
          <w:p w:rsidR="00C46876" w:rsidRDefault="00C46876">
            <w:pPr>
              <w:rPr>
                <w:rFonts w:ascii="David" w:eastAsia="David" w:hAnsi="David"/>
                <w:noProof w:val="0"/>
                <w:rtl/>
              </w:rPr>
            </w:pPr>
          </w:p>
        </w:tc>
        <w:tc>
          <w:tcPr>
            <w:tcW w:w="5571" w:type="dxa"/>
          </w:tcPr>
          <w:p w:rsidR="00C46876" w:rsidRDefault="00C46876">
            <w:pPr>
              <w:rPr>
                <w:b/>
                <w:bCs/>
                <w:sz w:val="26"/>
                <w:szCs w:val="26"/>
                <w:rtl/>
              </w:rPr>
            </w:pPr>
          </w:p>
        </w:tc>
      </w:tr>
      <w:tr w:rsidR="00C46876" w:rsidTr="00C46876">
        <w:trPr>
          <w:jc w:val="center"/>
        </w:trPr>
        <w:tc>
          <w:tcPr>
            <w:tcW w:w="8820" w:type="dxa"/>
            <w:gridSpan w:val="2"/>
          </w:tcPr>
          <w:p w:rsidR="00C46876" w:rsidRDefault="00C46876" w:rsidP="00C46876">
            <w:pPr>
              <w:suppressLineNumbers/>
              <w:jc w:val="left"/>
              <w:rPr>
                <w:b/>
                <w:bCs/>
                <w:sz w:val="26"/>
                <w:szCs w:val="26"/>
              </w:rPr>
            </w:pPr>
            <w:r>
              <w:rPr>
                <w:b/>
                <w:bCs/>
                <w:rtl/>
              </w:rPr>
              <w:t xml:space="preserve"> </w:t>
            </w:r>
            <w:r>
              <w:rPr>
                <w:b/>
                <w:bCs/>
                <w:sz w:val="26"/>
                <w:szCs w:val="26"/>
                <w:rtl/>
              </w:rPr>
              <w:t>בעניין:  מר מ</w:t>
            </w:r>
            <w:r>
              <w:rPr>
                <w:rFonts w:hint="cs"/>
                <w:b/>
                <w:bCs/>
                <w:sz w:val="26"/>
                <w:szCs w:val="26"/>
                <w:rtl/>
              </w:rPr>
              <w:t>.</w:t>
            </w:r>
            <w:r>
              <w:rPr>
                <w:b/>
                <w:bCs/>
                <w:sz w:val="26"/>
                <w:szCs w:val="26"/>
                <w:rtl/>
              </w:rPr>
              <w:t>פ</w:t>
            </w:r>
            <w:r>
              <w:rPr>
                <w:rFonts w:hint="cs"/>
                <w:b/>
                <w:bCs/>
                <w:sz w:val="26"/>
                <w:szCs w:val="26"/>
                <w:rtl/>
              </w:rPr>
              <w:t>.</w:t>
            </w:r>
          </w:p>
          <w:p w:rsidR="00C46876" w:rsidRDefault="00C46876">
            <w:pPr>
              <w:suppressLineNumbers/>
              <w:rPr>
                <w:rFonts w:ascii="Arial" w:hAnsi="Arial"/>
                <w:b/>
                <w:bCs/>
                <w:sz w:val="26"/>
                <w:szCs w:val="26"/>
                <w:rtl/>
              </w:rPr>
            </w:pPr>
          </w:p>
          <w:p w:rsidR="00C46876" w:rsidRDefault="00C46876">
            <w:pPr>
              <w:suppressLineNumbers/>
              <w:jc w:val="center"/>
              <w:rPr>
                <w:rFonts w:ascii="Arial" w:hAnsi="Arial"/>
                <w:b/>
                <w:bCs/>
                <w:noProof w:val="0"/>
                <w:sz w:val="30"/>
                <w:szCs w:val="30"/>
                <w:u w:val="single"/>
                <w:rtl/>
              </w:rPr>
            </w:pPr>
            <w:r>
              <w:rPr>
                <w:rFonts w:ascii="Arial" w:hAnsi="Arial"/>
                <w:b/>
                <w:bCs/>
                <w:sz w:val="30"/>
                <w:szCs w:val="30"/>
                <w:u w:val="single"/>
                <w:rtl/>
              </w:rPr>
              <w:t>החלטה</w:t>
            </w:r>
          </w:p>
        </w:tc>
      </w:tr>
      <w:tr w:rsidR="00C46876" w:rsidTr="00C46876">
        <w:trPr>
          <w:jc w:val="center"/>
        </w:trPr>
        <w:tc>
          <w:tcPr>
            <w:tcW w:w="8820" w:type="dxa"/>
            <w:gridSpan w:val="2"/>
          </w:tcPr>
          <w:p w:rsidR="00C46876" w:rsidRDefault="00C46876">
            <w:pPr>
              <w:suppressLineNumbers/>
              <w:rPr>
                <w:b/>
                <w:bCs/>
              </w:rPr>
            </w:pPr>
          </w:p>
        </w:tc>
      </w:tr>
    </w:tbl>
    <w:p w:rsidR="00C46876" w:rsidRDefault="00C46876" w:rsidP="00C46876">
      <w:pPr>
        <w:spacing w:line="360" w:lineRule="auto"/>
        <w:jc w:val="both"/>
        <w:rPr>
          <w:rFonts w:ascii="Arial" w:hAnsi="Arial"/>
          <w:noProof w:val="0"/>
          <w:rtl/>
        </w:rPr>
      </w:pPr>
    </w:p>
    <w:p w:rsidR="00C46876" w:rsidRDefault="00C46876" w:rsidP="00C46876">
      <w:pPr>
        <w:spacing w:line="360" w:lineRule="auto"/>
        <w:ind w:left="720" w:hanging="720"/>
        <w:jc w:val="both"/>
        <w:rPr>
          <w:rFonts w:ascii="David" w:hAnsi="David"/>
          <w:noProof w:val="0"/>
          <w:rtl/>
        </w:rPr>
      </w:pPr>
      <w:r>
        <w:rPr>
          <w:rFonts w:ascii="David" w:hAnsi="David"/>
          <w:rtl/>
        </w:rPr>
        <w:t>1.</w:t>
      </w:r>
      <w:r>
        <w:rPr>
          <w:rFonts w:ascii="David" w:hAnsi="David"/>
          <w:rtl/>
        </w:rPr>
        <w:tab/>
        <w:t>התובענה במסגרתה ניתנת החלטה זו הוגשה על ידי מר י</w:t>
      </w:r>
      <w:r>
        <w:rPr>
          <w:rFonts w:ascii="David" w:hAnsi="David" w:hint="cs"/>
          <w:rtl/>
        </w:rPr>
        <w:t>.</w:t>
      </w:r>
      <w:r>
        <w:rPr>
          <w:rFonts w:ascii="David" w:hAnsi="David"/>
          <w:rtl/>
        </w:rPr>
        <w:t xml:space="preserve"> רו. (להלן-</w:t>
      </w:r>
      <w:r>
        <w:rPr>
          <w:rFonts w:ascii="Miriam" w:hAnsi="Miriam" w:cs="Miriam"/>
          <w:b/>
          <w:bCs/>
          <w:rtl/>
        </w:rPr>
        <w:t>מר רו.</w:t>
      </w:r>
      <w:r>
        <w:rPr>
          <w:rFonts w:ascii="David" w:hAnsi="David"/>
          <w:rtl/>
        </w:rPr>
        <w:t>) מי שמונה לשמש כאפוטרופוס לרכושו העסקי של מר מ</w:t>
      </w:r>
      <w:r>
        <w:rPr>
          <w:rFonts w:ascii="David" w:hAnsi="David" w:hint="cs"/>
          <w:rtl/>
        </w:rPr>
        <w:t>.</w:t>
      </w:r>
      <w:r>
        <w:rPr>
          <w:rFonts w:ascii="David" w:hAnsi="David"/>
          <w:rtl/>
        </w:rPr>
        <w:t xml:space="preserve">פ. (להלן- </w:t>
      </w:r>
      <w:r>
        <w:rPr>
          <w:rFonts w:ascii="Miriam" w:hAnsi="Miriam" w:cs="Miriam"/>
          <w:b/>
          <w:bCs/>
          <w:rtl/>
        </w:rPr>
        <w:t>מר פ.</w:t>
      </w:r>
      <w:r>
        <w:rPr>
          <w:rFonts w:ascii="David" w:hAnsi="David"/>
          <w:rtl/>
        </w:rPr>
        <w:t xml:space="preserve">). </w:t>
      </w:r>
    </w:p>
    <w:p w:rsidR="00C46876" w:rsidRDefault="00C46876" w:rsidP="00C46876">
      <w:pPr>
        <w:ind w:left="720" w:hanging="720"/>
        <w:rPr>
          <w:noProof w:val="0"/>
          <w:rtl/>
        </w:rPr>
      </w:pPr>
    </w:p>
    <w:p w:rsidR="00C46876" w:rsidRDefault="00C46876" w:rsidP="00C46876">
      <w:pPr>
        <w:spacing w:line="360" w:lineRule="auto"/>
        <w:ind w:left="720" w:hanging="720"/>
        <w:jc w:val="both"/>
        <w:rPr>
          <w:rFonts w:ascii="David" w:hAnsi="David"/>
        </w:rPr>
      </w:pPr>
      <w:r>
        <w:rPr>
          <w:rFonts w:ascii="David" w:hAnsi="David"/>
          <w:rtl/>
        </w:rPr>
        <w:tab/>
        <w:t>מר רו. מונה לתפקידו ביום 29/8/2021 על ידי כבוד השופטת פאני גילת כהן. בצו המינוי הקבוע מונה מר רו. "</w:t>
      </w:r>
      <w:r>
        <w:rPr>
          <w:rFonts w:ascii="David" w:hAnsi="David"/>
          <w:b/>
          <w:bCs/>
          <w:rtl/>
        </w:rPr>
        <w:t>כאפוטרופוס של קבע לרכושו העסקי, מכל מין וסוג שהוא, של מר מ</w:t>
      </w:r>
      <w:r>
        <w:rPr>
          <w:rFonts w:ascii="David" w:hAnsi="David" w:hint="cs"/>
          <w:b/>
          <w:bCs/>
          <w:rtl/>
        </w:rPr>
        <w:t>.</w:t>
      </w:r>
      <w:r>
        <w:rPr>
          <w:rFonts w:ascii="David" w:hAnsi="David"/>
          <w:b/>
          <w:bCs/>
          <w:rtl/>
        </w:rPr>
        <w:t xml:space="preserve"> פ.</w:t>
      </w:r>
      <w:r>
        <w:rPr>
          <w:rFonts w:ascii="David" w:hAnsi="David"/>
          <w:rtl/>
        </w:rPr>
        <w:t xml:space="preserve"> ..." .</w:t>
      </w:r>
    </w:p>
    <w:p w:rsidR="00C46876" w:rsidRDefault="00C46876" w:rsidP="00C46876">
      <w:pPr>
        <w:spacing w:line="360" w:lineRule="auto"/>
        <w:ind w:left="720" w:hanging="720"/>
        <w:jc w:val="both"/>
        <w:rPr>
          <w:rFonts w:ascii="David" w:hAnsi="David"/>
          <w:rtl/>
        </w:rPr>
      </w:pPr>
    </w:p>
    <w:p w:rsidR="00C46876" w:rsidRDefault="00C46876" w:rsidP="00C46876">
      <w:pPr>
        <w:spacing w:line="360" w:lineRule="auto"/>
        <w:ind w:left="720" w:hanging="720"/>
        <w:jc w:val="both"/>
        <w:rPr>
          <w:rFonts w:ascii="David" w:hAnsi="David"/>
          <w:rtl/>
        </w:rPr>
      </w:pPr>
      <w:r>
        <w:rPr>
          <w:rFonts w:ascii="David" w:hAnsi="David"/>
          <w:rtl/>
        </w:rPr>
        <w:lastRenderedPageBreak/>
        <w:t>2.</w:t>
      </w:r>
      <w:r>
        <w:rPr>
          <w:rFonts w:ascii="David" w:hAnsi="David"/>
          <w:rtl/>
        </w:rPr>
        <w:tab/>
        <w:t>עובר לכך, ביום 10/8/2021, הגיש מר רו. ב-</w:t>
      </w:r>
      <w:r>
        <w:rPr>
          <w:rFonts w:ascii="David" w:hAnsi="David"/>
          <w:u w:val="single"/>
          <w:rtl/>
        </w:rPr>
        <w:t>תמ"ש 12371-09-20</w:t>
      </w:r>
      <w:r>
        <w:rPr>
          <w:rFonts w:ascii="David" w:hAnsi="David"/>
          <w:rtl/>
        </w:rPr>
        <w:t xml:space="preserve"> באמצעות האפוטרופוס לדין לעת ההיא של מר פ. עו"ד אברהם דבירי את הצעתו לשכר טרחתו המבוקש על מנת למלא התפקיד. מר רו. העמיד את שכרו על סך של 1,300 ₪ לשעת עבודה בתוספת מע"מ. מר רו. הבהיר שלא יהיה זכאי לכפל שכר (למשל בשל השתתפות בישיבת דירקטוריון) ובנוסף יהיה זכאי להחזר הוצאותיו ושיפוי מלא ומקיף בשל תביעות הנובעות ממילוי תפקידו.  מר רו. הכפיף עצמו בבקשתו לחוק הכשרות המשפטית והאפוטרופסות תשכ"ב-1962, תקנות הכשרות המשפטית והאפוטרופסות (כללים בדבר קביעת שכר לאפוטרופסים) תשמ"ט-1988. מר רו. סבר ששכר זה ראוי שייבחן לאחר חצי שנה בשים לב להיקף התפקיד והציע שהתשלום ישולם על ידי החברה.</w:t>
      </w:r>
    </w:p>
    <w:p w:rsidR="00C46876" w:rsidRDefault="00C46876" w:rsidP="00C46876">
      <w:pPr>
        <w:spacing w:line="360" w:lineRule="auto"/>
        <w:ind w:left="720" w:hanging="720"/>
        <w:jc w:val="both"/>
        <w:rPr>
          <w:rFonts w:ascii="David" w:hAnsi="David"/>
          <w:rtl/>
        </w:rPr>
      </w:pPr>
    </w:p>
    <w:p w:rsidR="00C46876" w:rsidRDefault="00C46876" w:rsidP="00C46876">
      <w:pPr>
        <w:spacing w:line="360" w:lineRule="auto"/>
        <w:ind w:left="720" w:hanging="720"/>
        <w:jc w:val="both"/>
        <w:rPr>
          <w:rFonts w:ascii="David" w:hAnsi="David"/>
          <w:rtl/>
        </w:rPr>
      </w:pPr>
      <w:r>
        <w:rPr>
          <w:rFonts w:ascii="David" w:hAnsi="David"/>
          <w:rtl/>
        </w:rPr>
        <w:t>3.</w:t>
      </w:r>
      <w:r>
        <w:rPr>
          <w:rFonts w:ascii="David" w:hAnsi="David"/>
          <w:rtl/>
        </w:rPr>
        <w:tab/>
        <w:t>ביום 23/8/2021 ניתנה החלטת בית המשפט כבוד השופטת גילת כהן בזו הלשון:</w:t>
      </w:r>
    </w:p>
    <w:p w:rsidR="00C46876" w:rsidRDefault="00C46876" w:rsidP="00C46876">
      <w:pPr>
        <w:spacing w:line="360" w:lineRule="auto"/>
        <w:ind w:left="720" w:hanging="720"/>
        <w:jc w:val="both"/>
        <w:rPr>
          <w:rFonts w:ascii="David" w:hAnsi="David"/>
          <w:rtl/>
        </w:rPr>
      </w:pPr>
    </w:p>
    <w:p w:rsidR="00C46876" w:rsidRDefault="00C46876" w:rsidP="00C46876">
      <w:pPr>
        <w:spacing w:line="360" w:lineRule="auto"/>
        <w:ind w:left="720" w:hanging="720"/>
        <w:jc w:val="both"/>
        <w:rPr>
          <w:rFonts w:ascii="David" w:hAnsi="David"/>
          <w:rtl/>
        </w:rPr>
      </w:pPr>
      <w:r>
        <w:rPr>
          <w:rFonts w:ascii="David" w:hAnsi="David"/>
          <w:rtl/>
        </w:rPr>
        <w:tab/>
        <w:t>"</w:t>
      </w:r>
      <w:r>
        <w:rPr>
          <w:rFonts w:ascii="David" w:hAnsi="David"/>
          <w:b/>
          <w:bCs/>
          <w:rtl/>
        </w:rPr>
        <w:t>בהמשך לקביעות שבפסק הדין מיום 22.07.2021 ולהודעת מר רו., ולהחלטה דלעיל מיום 11.08.2021 הנני מאשרת דרישות ו/או הבהרות האפוטרופוס לרכוש העסקי של מר מ</w:t>
      </w:r>
      <w:r>
        <w:rPr>
          <w:rFonts w:ascii="David" w:hAnsi="David" w:hint="cs"/>
          <w:b/>
          <w:bCs/>
          <w:rtl/>
        </w:rPr>
        <w:t>.</w:t>
      </w:r>
      <w:r>
        <w:rPr>
          <w:rFonts w:ascii="David" w:hAnsi="David"/>
          <w:b/>
          <w:bCs/>
          <w:rtl/>
        </w:rPr>
        <w:t xml:space="preserve"> פ. באשר מונה על ידי בית משפט זה, מר י</w:t>
      </w:r>
      <w:r>
        <w:rPr>
          <w:rFonts w:ascii="David" w:hAnsi="David" w:hint="cs"/>
          <w:b/>
          <w:bCs/>
          <w:rtl/>
        </w:rPr>
        <w:t>.</w:t>
      </w:r>
      <w:r>
        <w:rPr>
          <w:rFonts w:ascii="David" w:hAnsi="David"/>
          <w:b/>
          <w:bCs/>
          <w:rtl/>
        </w:rPr>
        <w:t xml:space="preserve"> רו., לרבות בענין שכר טרחתו. שכר הטרחה ישולם למה רו. על ידי החברה. צו המינוי יינתן בנפרד. בית המשפט מאחל למר רו. הצלחה במילוי תפקידו</w:t>
      </w:r>
      <w:r>
        <w:rPr>
          <w:rFonts w:ascii="David" w:hAnsi="David"/>
          <w:rtl/>
        </w:rPr>
        <w:t>".</w:t>
      </w:r>
    </w:p>
    <w:p w:rsidR="00C46876" w:rsidRDefault="00C46876" w:rsidP="00C46876">
      <w:pPr>
        <w:spacing w:line="360" w:lineRule="auto"/>
        <w:ind w:left="720" w:hanging="720"/>
        <w:jc w:val="both"/>
        <w:rPr>
          <w:rFonts w:ascii="David" w:hAnsi="David"/>
          <w:rtl/>
        </w:rPr>
      </w:pPr>
    </w:p>
    <w:p w:rsidR="00C46876" w:rsidRDefault="00C46876" w:rsidP="00C46876">
      <w:pPr>
        <w:spacing w:line="360" w:lineRule="auto"/>
        <w:ind w:left="720" w:hanging="720"/>
        <w:jc w:val="both"/>
        <w:rPr>
          <w:rFonts w:ascii="David" w:hAnsi="David"/>
          <w:rtl/>
        </w:rPr>
      </w:pPr>
      <w:r>
        <w:rPr>
          <w:rFonts w:ascii="David" w:hAnsi="David"/>
          <w:rtl/>
        </w:rPr>
        <w:t>4.</w:t>
      </w:r>
      <w:r>
        <w:rPr>
          <w:rFonts w:ascii="David" w:hAnsi="David"/>
          <w:rtl/>
        </w:rPr>
        <w:tab/>
        <w:t xml:space="preserve">מרגע החלטה זו הממנה את מר רו. במינוי של קבע הוגשו לבית המשפט בקשות של ילדיו של מר רו. כמי שמבקשים להצטרף להליך. אין מקום להרחיב בהליכים ובטענות שהועלו במסגרת הבקשות.  </w:t>
      </w:r>
    </w:p>
    <w:p w:rsidR="00C46876" w:rsidRDefault="00C46876" w:rsidP="00C46876">
      <w:pPr>
        <w:spacing w:line="360" w:lineRule="auto"/>
        <w:ind w:left="720" w:hanging="720"/>
        <w:jc w:val="both"/>
        <w:rPr>
          <w:rFonts w:ascii="David" w:hAnsi="David"/>
          <w:rtl/>
        </w:rPr>
      </w:pPr>
    </w:p>
    <w:p w:rsidR="00C46876" w:rsidRDefault="00C46876" w:rsidP="00C46876">
      <w:pPr>
        <w:spacing w:line="360" w:lineRule="auto"/>
        <w:ind w:left="720" w:hanging="720"/>
        <w:jc w:val="both"/>
        <w:rPr>
          <w:rFonts w:ascii="David" w:hAnsi="David"/>
        </w:rPr>
      </w:pPr>
      <w:r>
        <w:rPr>
          <w:rFonts w:ascii="David" w:hAnsi="David"/>
          <w:rtl/>
        </w:rPr>
        <w:t>5.</w:t>
      </w:r>
      <w:r>
        <w:rPr>
          <w:rFonts w:ascii="David" w:hAnsi="David"/>
          <w:rtl/>
        </w:rPr>
        <w:tab/>
        <w:t>ביום 8/12/2022 ניתנה החלטתו של כבוד השופט אריאל ממן ביחס לצרופו של הבן מר נ. פ. בזו הלשון:</w:t>
      </w:r>
      <w:r>
        <w:rPr>
          <w:rFonts w:ascii="David" w:hAnsi="David"/>
          <w:rtl/>
        </w:rPr>
        <w:tab/>
      </w:r>
    </w:p>
    <w:p w:rsidR="00C46876" w:rsidRDefault="00C46876" w:rsidP="00C46876">
      <w:pPr>
        <w:spacing w:line="360" w:lineRule="auto"/>
        <w:ind w:left="720" w:hanging="720"/>
        <w:jc w:val="both"/>
        <w:rPr>
          <w:rFonts w:ascii="David" w:hAnsi="David"/>
          <w:rtl/>
        </w:rPr>
      </w:pPr>
    </w:p>
    <w:p w:rsidR="00C46876" w:rsidRDefault="00C46876" w:rsidP="00C46876">
      <w:pPr>
        <w:spacing w:line="360" w:lineRule="auto"/>
        <w:ind w:left="720" w:hanging="720"/>
        <w:jc w:val="both"/>
        <w:rPr>
          <w:rFonts w:ascii="David" w:hAnsi="David"/>
          <w:b/>
          <w:bCs/>
          <w:rtl/>
        </w:rPr>
      </w:pPr>
      <w:r>
        <w:rPr>
          <w:rFonts w:ascii="David" w:hAnsi="David"/>
          <w:rtl/>
        </w:rPr>
        <w:tab/>
        <w:t>"</w:t>
      </w:r>
      <w:r>
        <w:rPr>
          <w:rFonts w:ascii="David" w:hAnsi="David"/>
          <w:b/>
          <w:bCs/>
          <w:rtl/>
        </w:rPr>
        <w:t>לאחר שעיינתי בבקשה ובתגובה ובהתחשב בכך שמדובר בבקשה שהינה המשך ישיר להליך קודם שהתנהל בעניינם של הצדדים (תמ"ש 12731-09-20), מן הראוי שהמבקש מר נ. פ. ויתר הצדדים יהיו אף הם חלק מהליך זה ויזכו לאפשרות ליתן את עמדתם לבקשות המוגשות ע"י האפוטרופוס שמונה לניהול הרכוש העסקי. לפיכך, המזכירות תעדכן ברישומיה את המבקש מר נ. פ. כמשיב נוסף בהליך</w:t>
      </w:r>
      <w:r>
        <w:rPr>
          <w:rFonts w:ascii="David" w:hAnsi="David"/>
          <w:rtl/>
        </w:rPr>
        <w:t>"</w:t>
      </w:r>
      <w:r>
        <w:rPr>
          <w:rFonts w:ascii="David" w:hAnsi="David"/>
          <w:b/>
          <w:bCs/>
          <w:rtl/>
        </w:rPr>
        <w:t>.</w:t>
      </w:r>
    </w:p>
    <w:p w:rsidR="00C46876" w:rsidRDefault="00C46876" w:rsidP="00C46876">
      <w:pPr>
        <w:spacing w:line="360" w:lineRule="auto"/>
        <w:ind w:left="720" w:hanging="720"/>
        <w:jc w:val="both"/>
        <w:rPr>
          <w:rFonts w:ascii="David" w:hAnsi="David"/>
          <w:b/>
          <w:bCs/>
          <w:rtl/>
        </w:rPr>
      </w:pPr>
    </w:p>
    <w:p w:rsidR="00C46876" w:rsidRDefault="00C46876" w:rsidP="00C46876">
      <w:pPr>
        <w:spacing w:line="360" w:lineRule="auto"/>
        <w:ind w:left="720" w:hanging="720"/>
        <w:jc w:val="both"/>
        <w:rPr>
          <w:rFonts w:ascii="David" w:hAnsi="David"/>
          <w:rtl/>
        </w:rPr>
      </w:pPr>
      <w:r>
        <w:rPr>
          <w:rFonts w:ascii="David" w:hAnsi="David"/>
          <w:b/>
          <w:bCs/>
          <w:rtl/>
        </w:rPr>
        <w:tab/>
      </w:r>
      <w:r>
        <w:rPr>
          <w:rFonts w:ascii="David" w:hAnsi="David"/>
          <w:rtl/>
        </w:rPr>
        <w:t>באותו יום, 8/12/2022 , הוגשה בקשה מטעם הבנים א. ורא. להצטרף להליך. טרם החלפת מותבים לא ניתנה החלטה של כבוד השופט ממן המורה על צירופם והזכות שלהם להיות חלק מההליך אגבית וכנראה לאור פרשנותם את החלטתו של השופט ממן בדיבור "...</w:t>
      </w:r>
      <w:r>
        <w:rPr>
          <w:rFonts w:ascii="David" w:hAnsi="David"/>
          <w:b/>
          <w:bCs/>
          <w:rtl/>
        </w:rPr>
        <w:t>ויתר הצדדים</w:t>
      </w:r>
      <w:r>
        <w:rPr>
          <w:rFonts w:ascii="David" w:hAnsi="David"/>
          <w:rtl/>
        </w:rPr>
        <w:t>..." ככוללת אותם. ברם, כאמור אין החלטה פוזיטיבית על צירופם. נהפוך הוא. בעקבות הדיון מיום 17/4/2023 ניתנה ההחלטה בה הובהר מדוע הם לא אמורים להיות חלק מההליך (ס' 5 להחלטה).</w:t>
      </w:r>
    </w:p>
    <w:p w:rsidR="00C46876" w:rsidRDefault="00C46876" w:rsidP="00C46876">
      <w:pPr>
        <w:spacing w:line="360" w:lineRule="auto"/>
        <w:ind w:left="720" w:hanging="720"/>
        <w:jc w:val="both"/>
        <w:rPr>
          <w:rFonts w:ascii="David" w:hAnsi="David"/>
          <w:rtl/>
        </w:rPr>
      </w:pPr>
    </w:p>
    <w:p w:rsidR="00C46876" w:rsidRDefault="00C46876" w:rsidP="00C46876">
      <w:pPr>
        <w:spacing w:line="360" w:lineRule="auto"/>
        <w:ind w:left="720" w:hanging="720"/>
        <w:jc w:val="both"/>
        <w:rPr>
          <w:rFonts w:ascii="David" w:hAnsi="David"/>
          <w:rtl/>
        </w:rPr>
      </w:pPr>
      <w:r>
        <w:rPr>
          <w:rFonts w:ascii="David" w:hAnsi="David"/>
          <w:rtl/>
        </w:rPr>
        <w:lastRenderedPageBreak/>
        <w:tab/>
        <w:t xml:space="preserve">כף, גם הראיה הגב' פ. הגישה ביום 29/12/2022 בקשה להצטרף להליך וכמו בעניינם של הצדדים נבחן הנושא בהחלטה שממנה עולה מעמדה כחלק מההליך (ס' 5 להחלטה). </w:t>
      </w:r>
    </w:p>
    <w:p w:rsidR="00C46876" w:rsidRDefault="00C46876" w:rsidP="00C46876">
      <w:pPr>
        <w:spacing w:line="360" w:lineRule="auto"/>
        <w:ind w:left="720" w:hanging="720"/>
        <w:jc w:val="both"/>
        <w:rPr>
          <w:rFonts w:ascii="David" w:hAnsi="David"/>
          <w:b/>
          <w:bCs/>
          <w:rtl/>
        </w:rPr>
      </w:pPr>
      <w:r>
        <w:rPr>
          <w:rFonts w:ascii="David" w:hAnsi="David"/>
          <w:b/>
          <w:bCs/>
          <w:rtl/>
        </w:rPr>
        <w:t xml:space="preserve"> </w:t>
      </w:r>
    </w:p>
    <w:p w:rsidR="00C46876" w:rsidRDefault="00C46876" w:rsidP="00C46876">
      <w:pPr>
        <w:spacing w:line="360" w:lineRule="auto"/>
        <w:ind w:left="720" w:hanging="720"/>
        <w:jc w:val="both"/>
        <w:rPr>
          <w:rFonts w:ascii="David" w:hAnsi="David"/>
          <w:rtl/>
        </w:rPr>
      </w:pPr>
      <w:r>
        <w:rPr>
          <w:rFonts w:ascii="David" w:hAnsi="David"/>
          <w:rtl/>
        </w:rPr>
        <w:t>6.</w:t>
      </w:r>
      <w:r>
        <w:rPr>
          <w:rFonts w:ascii="David" w:hAnsi="David"/>
          <w:rtl/>
        </w:rPr>
        <w:tab/>
        <w:t>בשל שינוי מותבים וסדרי עבודה בבית משפט זה התיק הועבר לטיפולי ביום 4/4/2023. לפתחי עמדו מצד אחד בקשתו של מר רו. לשחררו מתפקידו לאור "</w:t>
      </w:r>
      <w:r>
        <w:rPr>
          <w:rFonts w:ascii="David" w:hAnsi="David"/>
          <w:b/>
          <w:bCs/>
          <w:rtl/>
        </w:rPr>
        <w:t>המתקפות האישיות, המתוזמנות היטב, משוללות יסוד של חלק מבני משפחת פ. כנגד מר רו. ובשים לב להחלטת בית המשפט הנכבד מיום 8.12.2022</w:t>
      </w:r>
      <w:r>
        <w:rPr>
          <w:rFonts w:ascii="David" w:hAnsi="David"/>
          <w:rtl/>
        </w:rPr>
        <w:t xml:space="preserve"> (החלטת כבוד  השופט ממן הנ"ל- מ.ל) (להלן-</w:t>
      </w:r>
      <w:r>
        <w:rPr>
          <w:rFonts w:ascii="Miriam" w:hAnsi="Miriam" w:cs="Miriam"/>
          <w:b/>
          <w:bCs/>
          <w:rtl/>
        </w:rPr>
        <w:t>הבקשה</w:t>
      </w:r>
      <w:r>
        <w:rPr>
          <w:rFonts w:ascii="David" w:hAnsi="David"/>
          <w:rtl/>
        </w:rPr>
        <w:t xml:space="preserve">). מצד שני  התייחסות לשכר טרחתו על פי התובענה. </w:t>
      </w:r>
    </w:p>
    <w:p w:rsidR="00C46876" w:rsidRDefault="00C46876" w:rsidP="00C46876">
      <w:pPr>
        <w:spacing w:line="360" w:lineRule="auto"/>
        <w:ind w:left="720" w:hanging="720"/>
        <w:jc w:val="both"/>
        <w:rPr>
          <w:rFonts w:ascii="David" w:hAnsi="David"/>
          <w:rtl/>
        </w:rPr>
      </w:pPr>
    </w:p>
    <w:p w:rsidR="00C46876" w:rsidRDefault="00C46876" w:rsidP="00C46876">
      <w:pPr>
        <w:spacing w:line="360" w:lineRule="auto"/>
        <w:ind w:left="720"/>
        <w:jc w:val="both"/>
        <w:rPr>
          <w:rFonts w:ascii="David" w:hAnsi="David"/>
          <w:rtl/>
        </w:rPr>
      </w:pPr>
      <w:r>
        <w:rPr>
          <w:rFonts w:ascii="David" w:hAnsi="David"/>
          <w:rtl/>
        </w:rPr>
        <w:t>ביום 17/4/24 התקיים דיון במעמד הצדדים. ראוי לציין שהתרכזותם של המשיבים המצורפים על פי החלטת הצירוף התמקדה בעיקרה בסיום תפקידו של מר רו. כאפוטרופוס לרכושו העסקי של מר פ..</w:t>
      </w:r>
    </w:p>
    <w:p w:rsidR="00C46876" w:rsidRDefault="00C46876" w:rsidP="00C46876">
      <w:pPr>
        <w:spacing w:line="360" w:lineRule="auto"/>
        <w:ind w:left="720"/>
        <w:jc w:val="both"/>
        <w:rPr>
          <w:rFonts w:ascii="David" w:hAnsi="David"/>
          <w:rtl/>
        </w:rPr>
      </w:pPr>
    </w:p>
    <w:p w:rsidR="00C46876" w:rsidRDefault="00C46876" w:rsidP="00C46876">
      <w:pPr>
        <w:spacing w:line="360" w:lineRule="auto"/>
        <w:ind w:left="720" w:hanging="636"/>
        <w:jc w:val="both"/>
        <w:rPr>
          <w:rFonts w:ascii="David" w:hAnsi="David"/>
          <w:rtl/>
        </w:rPr>
      </w:pPr>
      <w:r>
        <w:rPr>
          <w:rFonts w:ascii="David" w:hAnsi="David"/>
          <w:rtl/>
        </w:rPr>
        <w:t>7.</w:t>
      </w:r>
      <w:r>
        <w:rPr>
          <w:rFonts w:ascii="David" w:hAnsi="David"/>
          <w:rtl/>
        </w:rPr>
        <w:tab/>
        <w:t xml:space="preserve">ביום 18/5/2023 ניתנה החלטתי בבקשה (להלן- </w:t>
      </w:r>
      <w:r>
        <w:rPr>
          <w:rFonts w:ascii="Miriam" w:hAnsi="Miriam" w:cs="Miriam"/>
          <w:b/>
          <w:bCs/>
          <w:rtl/>
        </w:rPr>
        <w:t>ההחלטה</w:t>
      </w:r>
      <w:r>
        <w:rPr>
          <w:rFonts w:ascii="David" w:hAnsi="David"/>
          <w:rtl/>
        </w:rPr>
        <w:t>).</w:t>
      </w:r>
    </w:p>
    <w:p w:rsidR="00C46876" w:rsidRDefault="00C46876" w:rsidP="00C46876">
      <w:pPr>
        <w:spacing w:line="360" w:lineRule="auto"/>
        <w:ind w:left="720" w:hanging="636"/>
        <w:jc w:val="both"/>
        <w:rPr>
          <w:rFonts w:ascii="David" w:hAnsi="David"/>
          <w:rtl/>
        </w:rPr>
      </w:pPr>
    </w:p>
    <w:p w:rsidR="00C46876" w:rsidRDefault="00C46876" w:rsidP="00C46876">
      <w:pPr>
        <w:spacing w:line="360" w:lineRule="auto"/>
        <w:ind w:left="714" w:hanging="630"/>
        <w:jc w:val="both"/>
        <w:rPr>
          <w:rFonts w:ascii="David" w:hAnsi="David"/>
          <w:rtl/>
        </w:rPr>
      </w:pPr>
      <w:r>
        <w:rPr>
          <w:rFonts w:ascii="David" w:hAnsi="David"/>
          <w:rtl/>
        </w:rPr>
        <w:t>8.</w:t>
      </w:r>
      <w:r>
        <w:rPr>
          <w:rFonts w:ascii="David" w:hAnsi="David"/>
          <w:rtl/>
        </w:rPr>
        <w:tab/>
        <w:t xml:space="preserve">בהחלטה דחיתי את הבקשה תוך ניתוח ההליך שהביא את מר רו. להגיש את הבקשה, התמקדות ברעייתו של מר פ. שהיא היחידה לעת הזו, לבד ממר פ. עצמו באמצעות האפוטרופוס לרכושו העסקי, שיש לה אמירה בכל הקשור בחברות הן לאור היותה שותפתו לחיים של מר פ. כרעייתו והן בשל היותה בעלת 50% מהבעלות בחברות, ותוך קביעה שאותם צדדים נוספים הם חסרי זכות כלשהי ברכושו של מר פ. לעת הזו (ראו בהרחבה ס' 5 להחלטה). </w:t>
      </w:r>
    </w:p>
    <w:p w:rsidR="00C46876" w:rsidRDefault="00C46876" w:rsidP="00C46876">
      <w:pPr>
        <w:spacing w:line="360" w:lineRule="auto"/>
        <w:ind w:left="714" w:hanging="630"/>
        <w:jc w:val="both"/>
        <w:rPr>
          <w:rFonts w:ascii="David" w:hAnsi="David"/>
          <w:rtl/>
        </w:rPr>
      </w:pPr>
    </w:p>
    <w:p w:rsidR="00C46876" w:rsidRDefault="00C46876" w:rsidP="00C46876">
      <w:pPr>
        <w:spacing w:line="360" w:lineRule="auto"/>
        <w:ind w:left="714"/>
        <w:jc w:val="both"/>
        <w:rPr>
          <w:rFonts w:ascii="David" w:hAnsi="David"/>
          <w:rtl/>
        </w:rPr>
      </w:pPr>
      <w:r>
        <w:rPr>
          <w:rFonts w:ascii="David" w:hAnsi="David"/>
          <w:rtl/>
        </w:rPr>
        <w:t>בין היתר נקבע בהחלטה "</w:t>
      </w:r>
      <w:r>
        <w:rPr>
          <w:rFonts w:ascii="David" w:hAnsi="David"/>
          <w:b/>
          <w:bCs/>
          <w:rtl/>
        </w:rPr>
        <w:t>משעה שלא שמעתי ולא עלה בכתובים התנגדות מפורשת ומנומקת מה טעם לא יאושר שכרו והתנאים הכספיים הנלווים כפי שנקבעו אני מאשר הארכת התשלום באותה מתכונת</w:t>
      </w:r>
      <w:r>
        <w:rPr>
          <w:rFonts w:ascii="David" w:hAnsi="David"/>
          <w:rtl/>
        </w:rPr>
        <w:t xml:space="preserve">". </w:t>
      </w:r>
    </w:p>
    <w:p w:rsidR="00C46876" w:rsidRDefault="00C46876" w:rsidP="00C46876">
      <w:pPr>
        <w:spacing w:line="360" w:lineRule="auto"/>
        <w:ind w:left="714"/>
        <w:jc w:val="both"/>
        <w:rPr>
          <w:rFonts w:ascii="David" w:hAnsi="David"/>
          <w:rtl/>
        </w:rPr>
      </w:pPr>
    </w:p>
    <w:p w:rsidR="00C46876" w:rsidRDefault="00C46876" w:rsidP="00C46876">
      <w:pPr>
        <w:spacing w:line="360" w:lineRule="auto"/>
        <w:ind w:left="714" w:hanging="630"/>
        <w:jc w:val="both"/>
        <w:rPr>
          <w:rFonts w:ascii="David" w:hAnsi="David"/>
          <w:rtl/>
        </w:rPr>
      </w:pPr>
      <w:r>
        <w:rPr>
          <w:rFonts w:ascii="David" w:hAnsi="David"/>
          <w:rtl/>
        </w:rPr>
        <w:tab/>
        <w:t xml:space="preserve">יוער, שכמובא לעיל בהחלטה  המקבלת את הצעתו של מר רו. לשכר טרחתו בהחלטת כבוד השופטת פאני גילת כהן לא נקבעה כל הנחייה באשר לבחינת שכרו של מר רו. או מנגנון לנהוג עליו. </w:t>
      </w:r>
    </w:p>
    <w:p w:rsidR="00C46876" w:rsidRDefault="00C46876" w:rsidP="00C46876">
      <w:pPr>
        <w:spacing w:line="360" w:lineRule="auto"/>
        <w:ind w:left="714" w:hanging="630"/>
        <w:jc w:val="both"/>
        <w:rPr>
          <w:rFonts w:ascii="David" w:hAnsi="David"/>
          <w:rtl/>
        </w:rPr>
      </w:pPr>
    </w:p>
    <w:p w:rsidR="00C46876" w:rsidRDefault="00C46876" w:rsidP="00C46876">
      <w:pPr>
        <w:spacing w:line="360" w:lineRule="auto"/>
        <w:jc w:val="both"/>
        <w:rPr>
          <w:rFonts w:ascii="David" w:hAnsi="David"/>
          <w:rtl/>
        </w:rPr>
      </w:pPr>
      <w:r>
        <w:rPr>
          <w:rFonts w:ascii="David" w:hAnsi="David"/>
          <w:rtl/>
        </w:rPr>
        <w:t>9.</w:t>
      </w:r>
      <w:r>
        <w:rPr>
          <w:rFonts w:ascii="David" w:hAnsi="David"/>
          <w:rtl/>
        </w:rPr>
        <w:tab/>
        <w:t xml:space="preserve">על החלטה זו הוגש ערעור </w:t>
      </w:r>
      <w:r>
        <w:rPr>
          <w:rFonts w:ascii="David" w:hAnsi="David"/>
          <w:u w:val="single"/>
          <w:rtl/>
        </w:rPr>
        <w:t>עמ"ש 2575-07-23</w:t>
      </w:r>
      <w:r>
        <w:rPr>
          <w:rFonts w:ascii="David" w:hAnsi="David"/>
          <w:rtl/>
        </w:rPr>
        <w:t xml:space="preserve">.     </w:t>
      </w:r>
    </w:p>
    <w:p w:rsidR="00C46876" w:rsidRDefault="00C46876" w:rsidP="00C46876">
      <w:pPr>
        <w:spacing w:line="360" w:lineRule="auto"/>
        <w:jc w:val="both"/>
        <w:rPr>
          <w:rFonts w:ascii="David" w:hAnsi="David"/>
          <w:rtl/>
        </w:rPr>
      </w:pPr>
    </w:p>
    <w:p w:rsidR="00C46876" w:rsidRDefault="00C46876" w:rsidP="00C46876">
      <w:pPr>
        <w:spacing w:line="360" w:lineRule="auto"/>
        <w:ind w:left="720" w:hanging="720"/>
        <w:jc w:val="both"/>
        <w:rPr>
          <w:rFonts w:ascii="David" w:hAnsi="David"/>
          <w:rtl/>
        </w:rPr>
      </w:pPr>
      <w:r>
        <w:rPr>
          <w:rFonts w:ascii="David" w:hAnsi="David"/>
          <w:rtl/>
        </w:rPr>
        <w:t>10.</w:t>
      </w:r>
      <w:r>
        <w:rPr>
          <w:rFonts w:ascii="David" w:hAnsi="David"/>
          <w:rtl/>
        </w:rPr>
        <w:tab/>
        <w:t>ביום 11/2/2024 ניתנה החלטה נוספת בבקשה שנייה של מר רו. לסיום תפקידו. גם הפעם הטעים מר רו. שהבסיס לבקשתו היא מסכת ההתקפות עליו מצד בניו של מר פ. וחוסר רצונו "...</w:t>
      </w:r>
      <w:r>
        <w:rPr>
          <w:rFonts w:ascii="David" w:hAnsi="David"/>
          <w:b/>
          <w:bCs/>
          <w:rtl/>
        </w:rPr>
        <w:t>להמשיך ולהתכתש עם בניו של מר פ. ולהיות מושא להכפשות והאשמות משוללות יסוד המופנות כלפיו וכלפי פועלו לטובת החברה</w:t>
      </w:r>
      <w:r>
        <w:rPr>
          <w:rFonts w:ascii="David" w:hAnsi="David"/>
          <w:rtl/>
        </w:rPr>
        <w:t>...".  בהחלטה בבקשתו השנייה של מר רו. ומשעה שהיה ערעור תלוי ועומד בבית המשפט המחוזי  נקבע בין היתר:</w:t>
      </w:r>
    </w:p>
    <w:p w:rsidR="00C46876" w:rsidRDefault="00C46876" w:rsidP="00C46876">
      <w:pPr>
        <w:spacing w:line="360" w:lineRule="auto"/>
        <w:ind w:left="720" w:hanging="720"/>
        <w:jc w:val="both"/>
        <w:rPr>
          <w:rFonts w:ascii="David" w:hAnsi="David"/>
          <w:rtl/>
        </w:rPr>
      </w:pPr>
    </w:p>
    <w:p w:rsidR="00C46876" w:rsidRDefault="00C46876" w:rsidP="00C46876">
      <w:pPr>
        <w:spacing w:line="360" w:lineRule="auto"/>
        <w:ind w:left="1440" w:hanging="720"/>
        <w:jc w:val="both"/>
        <w:rPr>
          <w:rFonts w:ascii="David" w:hAnsi="David"/>
          <w:rtl/>
        </w:rPr>
      </w:pPr>
      <w:r>
        <w:rPr>
          <w:rFonts w:ascii="David" w:hAnsi="David"/>
          <w:rtl/>
        </w:rPr>
        <w:lastRenderedPageBreak/>
        <w:t>"</w:t>
      </w:r>
      <w:r>
        <w:rPr>
          <w:rFonts w:ascii="David" w:hAnsi="David"/>
          <w:b/>
          <w:bCs/>
          <w:rtl/>
        </w:rPr>
        <w:t>5.</w:t>
      </w:r>
      <w:r>
        <w:rPr>
          <w:rFonts w:ascii="David" w:hAnsi="David"/>
          <w:b/>
          <w:bCs/>
          <w:rtl/>
        </w:rPr>
        <w:tab/>
        <w:t>לתיק הוגשה הודעת עדכון מטעם בא כוחם של המערערים בה הודיע שבית המשפט המחוזי קבע ש "...נכון יהיה שבית המשפט קמא ידון בה קודם לערעור ובדגש על דחיית התפטרות בעל תפקיד, הינה החלטה יוצאת דופן וחריגה". כך,  הודיע בא כוחם של המערערים שהוצעה הצעת פשרה על ידי בית המשפט המחוזי הצעת פשרה לפיה "הערעור ימחק ללא צו להוצאות תוך שמירת זכות המערערים להגשת ערעור חדש על ההחלטה מיום 18.5.22 (כך במקור התאריך הנכון 18/5/2023) תוך 60 יום מההחלטה שתינתן בבקשה התלויה ועומדת בבית משפט קמא". בא כוחם של המערערים ציין שהאחרונים מסכימים להצעת הפשרה שהוצעה על ידי בית המשפט המחוזי</w:t>
      </w:r>
      <w:r>
        <w:rPr>
          <w:rFonts w:ascii="David" w:hAnsi="David"/>
          <w:rtl/>
        </w:rPr>
        <w:t xml:space="preserve">. </w:t>
      </w:r>
    </w:p>
    <w:p w:rsidR="00C46876" w:rsidRDefault="00C46876" w:rsidP="00C46876">
      <w:pPr>
        <w:spacing w:line="360" w:lineRule="auto"/>
        <w:ind w:left="1440" w:hanging="720"/>
        <w:jc w:val="both"/>
        <w:rPr>
          <w:rFonts w:ascii="David" w:hAnsi="David"/>
          <w:rtl/>
        </w:rPr>
      </w:pPr>
      <w:r>
        <w:rPr>
          <w:rFonts w:ascii="David" w:hAnsi="David"/>
          <w:b/>
          <w:bCs/>
          <w:rtl/>
        </w:rPr>
        <w:t>6.</w:t>
      </w:r>
      <w:r>
        <w:rPr>
          <w:rFonts w:ascii="David" w:hAnsi="David"/>
          <w:b/>
          <w:bCs/>
          <w:rtl/>
        </w:rPr>
        <w:tab/>
        <w:t>משכך, ועל פי ההחלטה המורחבת של כבוד השופט פרסקי, שחלקה הובא לעיל, התבקשו הצדדים לפעול על פי אותה החלטה ולהודיע האם כולם מסכימים להצעה ולדחיית מועד דיון שהיה קבוע ליום 24/10/2023</w:t>
      </w:r>
      <w:r>
        <w:rPr>
          <w:rFonts w:ascii="David" w:hAnsi="David"/>
          <w:rtl/>
        </w:rPr>
        <w:t xml:space="preserve">." </w:t>
      </w:r>
    </w:p>
    <w:p w:rsidR="00C46876" w:rsidRDefault="00C46876" w:rsidP="00C46876">
      <w:pPr>
        <w:spacing w:line="360" w:lineRule="auto"/>
        <w:ind w:left="1440" w:hanging="720"/>
        <w:jc w:val="both"/>
        <w:rPr>
          <w:rFonts w:ascii="David" w:hAnsi="David"/>
          <w:rtl/>
        </w:rPr>
      </w:pPr>
    </w:p>
    <w:p w:rsidR="00C46876" w:rsidRDefault="00C46876" w:rsidP="00C46876">
      <w:pPr>
        <w:spacing w:line="360" w:lineRule="auto"/>
        <w:ind w:left="720" w:hanging="720"/>
        <w:jc w:val="both"/>
        <w:rPr>
          <w:rFonts w:ascii="David" w:hAnsi="David"/>
        </w:rPr>
      </w:pPr>
      <w:r>
        <w:rPr>
          <w:rFonts w:ascii="David" w:hAnsi="David"/>
          <w:rtl/>
        </w:rPr>
        <w:t xml:space="preserve"> 11.</w:t>
      </w:r>
      <w:r>
        <w:rPr>
          <w:rFonts w:ascii="David" w:hAnsi="David"/>
          <w:rtl/>
        </w:rPr>
        <w:tab/>
        <w:t>בין לבין פרצה מלחמת חרבות ברזל. טרם קיום הדיון והכרעה בבקשה השנייה הוגשה לתיק בקשה נוספת של מר רו., בקשה שלישית, בה ביקש מר רו. להקפיא את בקשתו לאור המצב המלחמתי וסבר שאין זה הזמן הנכון לסיים את תפקידו ובטענה כי בעשותו כן הוא בוחר להעדיף את טובת החברות על פני טובתו האישית.</w:t>
      </w:r>
    </w:p>
    <w:p w:rsidR="00C46876" w:rsidRDefault="00C46876" w:rsidP="00C46876">
      <w:pPr>
        <w:spacing w:line="360" w:lineRule="auto"/>
        <w:ind w:left="720" w:hanging="720"/>
        <w:jc w:val="both"/>
        <w:rPr>
          <w:rFonts w:ascii="David" w:hAnsi="David"/>
          <w:rtl/>
        </w:rPr>
      </w:pPr>
    </w:p>
    <w:p w:rsidR="00C46876" w:rsidRDefault="00C46876" w:rsidP="00C46876">
      <w:pPr>
        <w:spacing w:line="360" w:lineRule="auto"/>
        <w:ind w:left="720" w:hanging="720"/>
        <w:jc w:val="both"/>
        <w:rPr>
          <w:rFonts w:ascii="David" w:hAnsi="David"/>
          <w:rtl/>
        </w:rPr>
      </w:pPr>
      <w:r>
        <w:rPr>
          <w:rFonts w:ascii="David" w:hAnsi="David"/>
          <w:rtl/>
        </w:rPr>
        <w:tab/>
        <w:t>משכך הושאר מר רו. בתפקידו "...</w:t>
      </w:r>
      <w:r>
        <w:rPr>
          <w:rFonts w:ascii="David" w:hAnsi="David"/>
          <w:b/>
          <w:bCs/>
          <w:rtl/>
        </w:rPr>
        <w:t>לפחות לעת הזו, עד לתום המצב המלחמתי או להודעה אחרת  מטעמ</w:t>
      </w:r>
      <w:r>
        <w:rPr>
          <w:rFonts w:ascii="David" w:hAnsi="David"/>
          <w:rtl/>
        </w:rPr>
        <w:t xml:space="preserve">ו". </w:t>
      </w:r>
    </w:p>
    <w:p w:rsidR="00C46876" w:rsidRDefault="00C46876" w:rsidP="00C46876">
      <w:pPr>
        <w:spacing w:line="360" w:lineRule="auto"/>
        <w:ind w:left="720" w:hanging="720"/>
        <w:jc w:val="both"/>
        <w:rPr>
          <w:rFonts w:ascii="David" w:hAnsi="David"/>
          <w:rtl/>
        </w:rPr>
      </w:pPr>
    </w:p>
    <w:p w:rsidR="00C46876" w:rsidRDefault="00C46876" w:rsidP="00C46876">
      <w:pPr>
        <w:spacing w:line="360" w:lineRule="auto"/>
        <w:ind w:left="720" w:hanging="720"/>
        <w:jc w:val="both"/>
        <w:rPr>
          <w:rFonts w:ascii="David" w:hAnsi="David"/>
          <w:rtl/>
        </w:rPr>
      </w:pPr>
      <w:r>
        <w:rPr>
          <w:rFonts w:ascii="David" w:hAnsi="David"/>
          <w:rtl/>
        </w:rPr>
        <w:t>12.</w:t>
      </w:r>
      <w:r>
        <w:rPr>
          <w:rFonts w:ascii="David" w:hAnsi="David"/>
          <w:rtl/>
        </w:rPr>
        <w:tab/>
        <w:t>ביום 18/4/24 הגישו בניו של מר פ. א. ורא. בקשה שכותרתה "</w:t>
      </w:r>
      <w:r>
        <w:rPr>
          <w:rFonts w:ascii="David" w:hAnsi="David"/>
          <w:u w:val="single"/>
          <w:rtl/>
        </w:rPr>
        <w:t>הודעת עדכון ובקשה למתן הוראות ולחילופין, להורות על שחרורו של האפוט' לרכוש עסקי מתפקידו"</w:t>
      </w:r>
      <w:r>
        <w:rPr>
          <w:rFonts w:ascii="David" w:hAnsi="David"/>
          <w:rtl/>
        </w:rPr>
        <w:t xml:space="preserve"> .</w:t>
      </w:r>
    </w:p>
    <w:p w:rsidR="00C46876" w:rsidRDefault="00C46876" w:rsidP="00C46876">
      <w:pPr>
        <w:spacing w:line="360" w:lineRule="auto"/>
        <w:ind w:left="720" w:hanging="720"/>
        <w:jc w:val="both"/>
        <w:rPr>
          <w:rFonts w:ascii="David" w:hAnsi="David"/>
          <w:rtl/>
        </w:rPr>
      </w:pPr>
    </w:p>
    <w:p w:rsidR="00C46876" w:rsidRDefault="00C46876" w:rsidP="00C46876">
      <w:pPr>
        <w:pStyle w:val="Ruller4"/>
        <w:tabs>
          <w:tab w:val="left" w:pos="720"/>
        </w:tabs>
        <w:ind w:left="720"/>
        <w:rPr>
          <w:rFonts w:ascii="David" w:hAnsi="David" w:cs="David"/>
          <w:sz w:val="24"/>
          <w:szCs w:val="24"/>
          <w:rtl/>
        </w:rPr>
      </w:pPr>
      <w:r>
        <w:rPr>
          <w:rFonts w:ascii="David" w:eastAsiaTheme="minorHAnsi" w:hAnsi="David" w:cs="David"/>
          <w:spacing w:val="0"/>
          <w:kern w:val="0"/>
          <w:sz w:val="24"/>
          <w:szCs w:val="24"/>
          <w:rtl/>
          <w14:ligatures w14:val="none"/>
        </w:rPr>
        <w:t xml:space="preserve">בבקשה טוענים המבקשים שהעולה מפסק דינו של בית המשפט המחוזי מיום 13/3/2024 ביחס לשכרו של מר </w:t>
      </w:r>
      <w:proofErr w:type="spellStart"/>
      <w:r>
        <w:rPr>
          <w:rFonts w:ascii="David" w:eastAsiaTheme="minorHAnsi" w:hAnsi="David" w:cs="David"/>
          <w:spacing w:val="0"/>
          <w:kern w:val="0"/>
          <w:sz w:val="24"/>
          <w:szCs w:val="24"/>
          <w:rtl/>
          <w14:ligatures w14:val="none"/>
        </w:rPr>
        <w:t>רו</w:t>
      </w:r>
      <w:proofErr w:type="spellEnd"/>
      <w:r>
        <w:rPr>
          <w:rFonts w:ascii="David" w:eastAsiaTheme="minorHAnsi" w:hAnsi="David" w:cs="David"/>
          <w:spacing w:val="0"/>
          <w:kern w:val="0"/>
          <w:sz w:val="24"/>
          <w:szCs w:val="24"/>
          <w:rtl/>
          <w14:ligatures w14:val="none"/>
        </w:rPr>
        <w:t>. הוא</w:t>
      </w:r>
      <w:r>
        <w:rPr>
          <w:rFonts w:ascii="David" w:hAnsi="David" w:cs="David"/>
          <w:sz w:val="24"/>
          <w:szCs w:val="24"/>
          <w:rtl/>
        </w:rPr>
        <w:t xml:space="preserve"> "...</w:t>
      </w:r>
      <w:r>
        <w:rPr>
          <w:rFonts w:ascii="David" w:eastAsiaTheme="minorHAnsi" w:hAnsi="David" w:cs="David"/>
          <w:b/>
          <w:bCs/>
          <w:spacing w:val="0"/>
          <w:kern w:val="0"/>
          <w:sz w:val="24"/>
          <w:szCs w:val="24"/>
          <w:rtl/>
          <w14:ligatures w14:val="none"/>
        </w:rPr>
        <w:t xml:space="preserve">שהילוכו של </w:t>
      </w:r>
      <w:proofErr w:type="spellStart"/>
      <w:r>
        <w:rPr>
          <w:rFonts w:ascii="David" w:eastAsiaTheme="minorHAnsi" w:hAnsi="David" w:cs="David"/>
          <w:b/>
          <w:bCs/>
          <w:spacing w:val="0"/>
          <w:kern w:val="0"/>
          <w:sz w:val="24"/>
          <w:szCs w:val="24"/>
          <w:rtl/>
          <w14:ligatures w14:val="none"/>
        </w:rPr>
        <w:t>האפוט</w:t>
      </w:r>
      <w:proofErr w:type="spellEnd"/>
      <w:r>
        <w:rPr>
          <w:rFonts w:ascii="David" w:eastAsiaTheme="minorHAnsi" w:hAnsi="David" w:cs="David"/>
          <w:b/>
          <w:bCs/>
          <w:spacing w:val="0"/>
          <w:kern w:val="0"/>
          <w:sz w:val="24"/>
          <w:szCs w:val="24"/>
          <w:rtl/>
          <w14:ligatures w14:val="none"/>
        </w:rPr>
        <w:t>' לרכוש העסקי נעשה שלא כדין ושלא בהתאם לתקנות ואף בניגוד להצהרתו  עוד בבקשה למינוי מלפני 3 שנים (!)  לפעול ולאשר את שכרו כמתחייב בדין".</w:t>
      </w:r>
    </w:p>
    <w:p w:rsidR="00C46876" w:rsidRDefault="00C46876" w:rsidP="00C46876">
      <w:pPr>
        <w:pStyle w:val="Ruller4"/>
        <w:tabs>
          <w:tab w:val="left" w:pos="720"/>
        </w:tabs>
        <w:ind w:left="720"/>
        <w:rPr>
          <w:rFonts w:ascii="David" w:hAnsi="David" w:cs="David"/>
          <w:sz w:val="24"/>
          <w:szCs w:val="24"/>
          <w:rtl/>
        </w:rPr>
      </w:pPr>
    </w:p>
    <w:p w:rsidR="00C46876" w:rsidRDefault="00C46876" w:rsidP="00C46876">
      <w:pPr>
        <w:pStyle w:val="Ruller4"/>
        <w:tabs>
          <w:tab w:val="left" w:pos="720"/>
        </w:tabs>
        <w:ind w:left="720"/>
        <w:rPr>
          <w:rFonts w:ascii="David" w:hAnsi="David" w:cs="David"/>
          <w:sz w:val="24"/>
          <w:szCs w:val="24"/>
          <w:rtl/>
        </w:rPr>
      </w:pPr>
      <w:r>
        <w:rPr>
          <w:rFonts w:ascii="David" w:hAnsi="David" w:cs="David"/>
          <w:sz w:val="24"/>
          <w:szCs w:val="24"/>
          <w:rtl/>
        </w:rPr>
        <w:t xml:space="preserve">הבנים א. </w:t>
      </w:r>
      <w:proofErr w:type="spellStart"/>
      <w:r>
        <w:rPr>
          <w:rFonts w:ascii="David" w:hAnsi="David" w:cs="David"/>
          <w:sz w:val="24"/>
          <w:szCs w:val="24"/>
          <w:rtl/>
        </w:rPr>
        <w:t>ורא</w:t>
      </w:r>
      <w:proofErr w:type="spellEnd"/>
      <w:r>
        <w:rPr>
          <w:rFonts w:ascii="David" w:hAnsi="David" w:cs="David"/>
          <w:sz w:val="24"/>
          <w:szCs w:val="24"/>
          <w:rtl/>
        </w:rPr>
        <w:t xml:space="preserve">. תקפו את תפקודו של מר </w:t>
      </w:r>
      <w:proofErr w:type="spellStart"/>
      <w:r>
        <w:rPr>
          <w:rFonts w:ascii="David" w:hAnsi="David" w:cs="David"/>
          <w:sz w:val="24"/>
          <w:szCs w:val="24"/>
          <w:rtl/>
        </w:rPr>
        <w:t>רו</w:t>
      </w:r>
      <w:proofErr w:type="spellEnd"/>
      <w:r>
        <w:rPr>
          <w:rFonts w:ascii="David" w:hAnsi="David" w:cs="David"/>
          <w:sz w:val="24"/>
          <w:szCs w:val="24"/>
          <w:rtl/>
        </w:rPr>
        <w:t xml:space="preserve">. ושיקול דעתו תוך קביעה שהוא פועל ללא אישור שכרו ומעלים נתונים. </w:t>
      </w:r>
    </w:p>
    <w:p w:rsidR="00C46876" w:rsidRDefault="00C46876" w:rsidP="00C46876">
      <w:pPr>
        <w:pStyle w:val="Ruller4"/>
        <w:tabs>
          <w:tab w:val="left" w:pos="720"/>
        </w:tabs>
        <w:ind w:left="720"/>
        <w:rPr>
          <w:rFonts w:ascii="David" w:eastAsiaTheme="minorHAnsi" w:hAnsi="David" w:cs="David"/>
          <w:spacing w:val="0"/>
          <w:kern w:val="0"/>
          <w:sz w:val="24"/>
          <w:szCs w:val="24"/>
          <w:rtl/>
          <w14:ligatures w14:val="none"/>
        </w:rPr>
      </w:pPr>
    </w:p>
    <w:p w:rsidR="00C46876" w:rsidRDefault="00C46876" w:rsidP="00C46876">
      <w:pPr>
        <w:pStyle w:val="Ruller4"/>
        <w:tabs>
          <w:tab w:val="left" w:pos="720"/>
        </w:tabs>
        <w:ind w:left="720"/>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t xml:space="preserve">לטענת המבקשים לאור הודעת ההתפטרות של מר </w:t>
      </w:r>
      <w:proofErr w:type="spellStart"/>
      <w:r>
        <w:rPr>
          <w:rFonts w:ascii="David" w:eastAsiaTheme="minorHAnsi" w:hAnsi="David" w:cs="David"/>
          <w:spacing w:val="0"/>
          <w:kern w:val="0"/>
          <w:sz w:val="24"/>
          <w:szCs w:val="24"/>
          <w:rtl/>
          <w14:ligatures w14:val="none"/>
        </w:rPr>
        <w:t>רו</w:t>
      </w:r>
      <w:proofErr w:type="spellEnd"/>
      <w:r>
        <w:rPr>
          <w:rFonts w:ascii="David" w:eastAsiaTheme="minorHAnsi" w:hAnsi="David" w:cs="David"/>
          <w:spacing w:val="0"/>
          <w:kern w:val="0"/>
          <w:sz w:val="24"/>
          <w:szCs w:val="24"/>
          <w:rtl/>
          <w14:ligatures w14:val="none"/>
        </w:rPr>
        <w:t>. "</w:t>
      </w:r>
      <w:r>
        <w:rPr>
          <w:rFonts w:ascii="David" w:eastAsiaTheme="minorHAnsi" w:hAnsi="David" w:cs="David"/>
          <w:b/>
          <w:bCs/>
          <w:spacing w:val="0"/>
          <w:kern w:val="0"/>
          <w:sz w:val="24"/>
          <w:szCs w:val="24"/>
          <w:rtl/>
          <w14:ligatures w14:val="none"/>
        </w:rPr>
        <w:t>'והקפאתה'</w:t>
      </w: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 </w:t>
      </w:r>
      <w:r>
        <w:rPr>
          <w:rFonts w:ascii="David" w:eastAsiaTheme="minorHAnsi" w:hAnsi="David" w:cs="David"/>
          <w:spacing w:val="0"/>
          <w:kern w:val="0"/>
          <w:sz w:val="24"/>
          <w:szCs w:val="24"/>
          <w:rtl/>
          <w14:ligatures w14:val="none"/>
        </w:rPr>
        <w:t>כלשונם</w:t>
      </w:r>
      <w:r>
        <w:rPr>
          <w:rFonts w:ascii="David" w:eastAsiaTheme="minorHAnsi" w:hAnsi="David" w:cs="David"/>
          <w:b/>
          <w:bCs/>
          <w:spacing w:val="0"/>
          <w:kern w:val="0"/>
          <w:sz w:val="24"/>
          <w:szCs w:val="24"/>
          <w:rtl/>
          <w14:ligatures w14:val="none"/>
        </w:rPr>
        <w:t xml:space="preserve"> </w:t>
      </w:r>
      <w:r>
        <w:rPr>
          <w:rFonts w:ascii="David" w:hAnsi="David" w:cs="David"/>
          <w:kern w:val="0"/>
          <w:sz w:val="24"/>
          <w:szCs w:val="24"/>
          <w:rtl/>
          <w14:ligatures w14:val="none"/>
        </w:rPr>
        <w:t>"...</w:t>
      </w:r>
      <w:r>
        <w:rPr>
          <w:rFonts w:ascii="David" w:eastAsiaTheme="minorHAnsi" w:hAnsi="David" w:cs="David"/>
          <w:b/>
          <w:bCs/>
          <w:spacing w:val="0"/>
          <w:kern w:val="0"/>
          <w:sz w:val="24"/>
          <w:szCs w:val="24"/>
          <w:rtl/>
          <w14:ligatures w14:val="none"/>
        </w:rPr>
        <w:t>הרי שמדובר בנסיבות חריגות בהן בעל תפקיד רשמי, פועל בחריגה מסמכותו- מסרב לאשר את שכרו ומנכס לעצמו 'סמכויות' שמעולם לא הוקנו לו, ואף מנוגדות לפסקי דין חלוטים</w:t>
      </w:r>
      <w:r>
        <w:rPr>
          <w:rFonts w:ascii="David" w:eastAsiaTheme="minorHAnsi" w:hAnsi="David" w:cs="David"/>
          <w:spacing w:val="0"/>
          <w:kern w:val="0"/>
          <w:sz w:val="24"/>
          <w:szCs w:val="24"/>
          <w:rtl/>
          <w14:ligatures w14:val="none"/>
        </w:rPr>
        <w:t>...". לא מצאתי להרחיב בהפניה לפסק הדין שכן בכל הכבוד אין בה תרומה להבנת המחלוקת או לתמוך בטיעוני הבנים.</w:t>
      </w:r>
    </w:p>
    <w:p w:rsidR="00C46876" w:rsidRDefault="00C46876" w:rsidP="00C46876">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b/>
          <w:bCs/>
          <w:spacing w:val="0"/>
          <w:kern w:val="0"/>
          <w:sz w:val="24"/>
          <w:szCs w:val="24"/>
          <w:rtl/>
          <w14:ligatures w14:val="none"/>
        </w:rPr>
        <w:t xml:space="preserve"> </w:t>
      </w:r>
    </w:p>
    <w:p w:rsidR="00C46876" w:rsidRDefault="00C46876" w:rsidP="00C46876">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lastRenderedPageBreak/>
        <w:t xml:space="preserve">בשים לב לטענותיהם סברו המבקשים א. </w:t>
      </w:r>
      <w:proofErr w:type="spellStart"/>
      <w:r>
        <w:rPr>
          <w:rFonts w:ascii="David" w:eastAsiaTheme="minorHAnsi" w:hAnsi="David" w:cs="David"/>
          <w:spacing w:val="0"/>
          <w:kern w:val="0"/>
          <w:sz w:val="24"/>
          <w:szCs w:val="24"/>
          <w:rtl/>
          <w14:ligatures w14:val="none"/>
        </w:rPr>
        <w:t>ורא</w:t>
      </w:r>
      <w:proofErr w:type="spellEnd"/>
      <w:r>
        <w:rPr>
          <w:rFonts w:ascii="David" w:eastAsiaTheme="minorHAnsi" w:hAnsi="David" w:cs="David"/>
          <w:spacing w:val="0"/>
          <w:kern w:val="0"/>
          <w:sz w:val="24"/>
          <w:szCs w:val="24"/>
          <w:rtl/>
          <w14:ligatures w14:val="none"/>
        </w:rPr>
        <w:t xml:space="preserve">. שעל בית המשפט </w:t>
      </w:r>
      <w:r>
        <w:rPr>
          <w:rFonts w:ascii="David" w:eastAsiaTheme="minorHAnsi" w:hAnsi="David" w:cs="David"/>
          <w:b/>
          <w:bCs/>
          <w:spacing w:val="0"/>
          <w:kern w:val="0"/>
          <w:sz w:val="24"/>
          <w:szCs w:val="24"/>
          <w:rtl/>
          <w14:ligatures w14:val="none"/>
        </w:rPr>
        <w:t>"...</w:t>
      </w:r>
      <w:proofErr w:type="spellStart"/>
      <w:r>
        <w:rPr>
          <w:rFonts w:ascii="David" w:eastAsiaTheme="minorHAnsi" w:hAnsi="David" w:cs="David"/>
          <w:b/>
          <w:bCs/>
          <w:spacing w:val="0"/>
          <w:kern w:val="0"/>
          <w:sz w:val="24"/>
          <w:szCs w:val="24"/>
          <w:rtl/>
          <w14:ligatures w14:val="none"/>
        </w:rPr>
        <w:t>ליתן</w:t>
      </w:r>
      <w:proofErr w:type="spellEnd"/>
      <w:r>
        <w:rPr>
          <w:rFonts w:ascii="David" w:eastAsiaTheme="minorHAnsi" w:hAnsi="David" w:cs="David"/>
          <w:b/>
          <w:bCs/>
          <w:spacing w:val="0"/>
          <w:kern w:val="0"/>
          <w:sz w:val="24"/>
          <w:szCs w:val="24"/>
          <w:rtl/>
          <w14:ligatures w14:val="none"/>
        </w:rPr>
        <w:t xml:space="preserve"> הוראות לרבות </w:t>
      </w:r>
      <w:proofErr w:type="spellStart"/>
      <w:r>
        <w:rPr>
          <w:rFonts w:ascii="David" w:eastAsiaTheme="minorHAnsi" w:hAnsi="David" w:cs="David"/>
          <w:b/>
          <w:bCs/>
          <w:spacing w:val="0"/>
          <w:kern w:val="0"/>
          <w:sz w:val="24"/>
          <w:szCs w:val="24"/>
          <w:rtl/>
          <w14:ligatures w14:val="none"/>
        </w:rPr>
        <w:t>קציבת</w:t>
      </w:r>
      <w:proofErr w:type="spellEnd"/>
      <w:r>
        <w:rPr>
          <w:rFonts w:ascii="David" w:eastAsiaTheme="minorHAnsi" w:hAnsi="David" w:cs="David"/>
          <w:b/>
          <w:bCs/>
          <w:spacing w:val="0"/>
          <w:kern w:val="0"/>
          <w:sz w:val="24"/>
          <w:szCs w:val="24"/>
          <w:rtl/>
          <w14:ligatures w14:val="none"/>
        </w:rPr>
        <w:t xml:space="preserve"> מועדים קצרים לביצוע ולחילופין- פשוט לשחרר את האפוטרופוס לרכוש העסקי מתפקידו- תפקיד שהוא עצמו הודיע כי אינו חפץ בו (ומוכיח במעשיו את עמדתו) ולמצער לקצוב את 'תקופת ההקפאה' לא לפני שיחויב </w:t>
      </w:r>
      <w:proofErr w:type="spellStart"/>
      <w:r>
        <w:rPr>
          <w:rFonts w:ascii="David" w:eastAsiaTheme="minorHAnsi" w:hAnsi="David" w:cs="David"/>
          <w:b/>
          <w:bCs/>
          <w:spacing w:val="0"/>
          <w:kern w:val="0"/>
          <w:sz w:val="24"/>
          <w:szCs w:val="24"/>
          <w:rtl/>
          <w14:ligatures w14:val="none"/>
        </w:rPr>
        <w:t>האפוט</w:t>
      </w:r>
      <w:proofErr w:type="spellEnd"/>
      <w:r>
        <w:rPr>
          <w:rFonts w:ascii="David" w:eastAsiaTheme="minorHAnsi" w:hAnsi="David" w:cs="David"/>
          <w:b/>
          <w:bCs/>
          <w:spacing w:val="0"/>
          <w:kern w:val="0"/>
          <w:sz w:val="24"/>
          <w:szCs w:val="24"/>
          <w:rtl/>
          <w14:ligatures w14:val="none"/>
        </w:rPr>
        <w:t>' לאשר כל סכום שנקבע על ידו ולאפשר מינוי גורם ניטרלי תחתיו (שאף יבדוק את פעולותיו) לטובת עסקי משפחה וענייני מ</w:t>
      </w:r>
      <w:r>
        <w:rPr>
          <w:rFonts w:ascii="David" w:eastAsiaTheme="minorHAnsi" w:hAnsi="David" w:cs="David" w:hint="cs"/>
          <w:b/>
          <w:bCs/>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 פ. </w:t>
      </w:r>
      <w:proofErr w:type="spellStart"/>
      <w:r>
        <w:rPr>
          <w:rFonts w:ascii="David" w:eastAsiaTheme="minorHAnsi" w:hAnsi="David" w:cs="David"/>
          <w:b/>
          <w:bCs/>
          <w:spacing w:val="0"/>
          <w:kern w:val="0"/>
          <w:sz w:val="24"/>
          <w:szCs w:val="24"/>
          <w:rtl/>
          <w14:ligatures w14:val="none"/>
        </w:rPr>
        <w:t>יבדל"א</w:t>
      </w:r>
      <w:proofErr w:type="spellEnd"/>
      <w:r>
        <w:rPr>
          <w:rFonts w:ascii="David" w:eastAsiaTheme="minorHAnsi" w:hAnsi="David" w:cs="David"/>
          <w:spacing w:val="0"/>
          <w:kern w:val="0"/>
          <w:sz w:val="24"/>
          <w:szCs w:val="24"/>
          <w:rtl/>
          <w14:ligatures w14:val="none"/>
        </w:rPr>
        <w:t>".</w:t>
      </w:r>
    </w:p>
    <w:p w:rsidR="00C46876" w:rsidRDefault="00C46876" w:rsidP="00C46876">
      <w:pPr>
        <w:pStyle w:val="Ruller4"/>
        <w:tabs>
          <w:tab w:val="left" w:pos="720"/>
        </w:tabs>
        <w:ind w:left="720"/>
        <w:rPr>
          <w:rFonts w:ascii="David" w:eastAsiaTheme="minorHAnsi" w:hAnsi="David" w:cs="David"/>
          <w:spacing w:val="0"/>
          <w:kern w:val="0"/>
          <w:sz w:val="24"/>
          <w:szCs w:val="24"/>
          <w:rtl/>
          <w14:ligatures w14:val="none"/>
        </w:rPr>
      </w:pPr>
    </w:p>
    <w:p w:rsidR="00C46876" w:rsidRDefault="00C46876" w:rsidP="00C46876">
      <w:pPr>
        <w:pStyle w:val="Ruller4"/>
        <w:tabs>
          <w:tab w:val="left" w:pos="720"/>
        </w:tabs>
        <w:ind w:left="720" w:hanging="720"/>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13.</w:t>
      </w:r>
      <w:r>
        <w:rPr>
          <w:rFonts w:ascii="David" w:eastAsiaTheme="minorHAnsi" w:hAnsi="David" w:cs="David"/>
          <w:spacing w:val="0"/>
          <w:kern w:val="0"/>
          <w:sz w:val="24"/>
          <w:szCs w:val="24"/>
          <w:rtl/>
          <w14:ligatures w14:val="none"/>
        </w:rPr>
        <w:tab/>
        <w:t xml:space="preserve">ביום 9/5/2024 הוגשה עמדתו של מר </w:t>
      </w:r>
      <w:proofErr w:type="spellStart"/>
      <w:r>
        <w:rPr>
          <w:rFonts w:ascii="David" w:eastAsiaTheme="minorHAnsi" w:hAnsi="David" w:cs="David"/>
          <w:spacing w:val="0"/>
          <w:kern w:val="0"/>
          <w:sz w:val="24"/>
          <w:szCs w:val="24"/>
          <w:rtl/>
          <w14:ligatures w14:val="none"/>
        </w:rPr>
        <w:t>רו</w:t>
      </w:r>
      <w:proofErr w:type="spellEnd"/>
      <w:r>
        <w:rPr>
          <w:rFonts w:ascii="David" w:eastAsiaTheme="minorHAnsi" w:hAnsi="David" w:cs="David"/>
          <w:spacing w:val="0"/>
          <w:kern w:val="0"/>
          <w:sz w:val="24"/>
          <w:szCs w:val="24"/>
          <w:rtl/>
          <w14:ligatures w14:val="none"/>
        </w:rPr>
        <w:t>.. הוא דחה את טענות בניו של מר פ. ובחר שלא להתעמת עם הטענות וההכפשות</w:t>
      </w:r>
      <w:r>
        <w:rPr>
          <w:rFonts w:ascii="David" w:eastAsiaTheme="minorHAnsi" w:hAnsi="David" w:cs="David"/>
          <w:b/>
          <w:bCs/>
          <w:spacing w:val="0"/>
          <w:kern w:val="0"/>
          <w:sz w:val="24"/>
          <w:szCs w:val="24"/>
          <w:rtl/>
          <w14:ligatures w14:val="none"/>
        </w:rPr>
        <w:t xml:space="preserve"> </w:t>
      </w: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הממוחזרות ומשוללות יסוד</w:t>
      </w:r>
      <w:r>
        <w:rPr>
          <w:rFonts w:ascii="David" w:eastAsiaTheme="minorHAnsi" w:hAnsi="David" w:cs="David"/>
          <w:spacing w:val="0"/>
          <w:kern w:val="0"/>
          <w:sz w:val="24"/>
          <w:szCs w:val="24"/>
          <w:rtl/>
          <w14:ligatures w14:val="none"/>
        </w:rPr>
        <w:t>". טען,</w:t>
      </w:r>
      <w:r>
        <w:rPr>
          <w:rFonts w:ascii="David" w:eastAsiaTheme="minorHAnsi" w:hAnsi="David" w:cs="David"/>
          <w:b/>
          <w:bCs/>
          <w:spacing w:val="0"/>
          <w:kern w:val="0"/>
          <w:sz w:val="24"/>
          <w:szCs w:val="24"/>
          <w:rtl/>
          <w14:ligatures w14:val="none"/>
        </w:rPr>
        <w:t xml:space="preserve"> </w:t>
      </w: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שבחלוף למעלה מחצי שנה מתחילת המלחמה, הצליח האפוטרופוס להוביל את קבוצת החברות למקום יציב ולהתמודד עם מרבית האתגרים שהמצב מלחמתי הציב לפתחה. דוחות עיתיים על אתגרי המצב המלחמתי והתמודדויות קבוצות החברות עם המצב הוגשו לאפוטרופוס הכללי בימים  10.12.2024</w:t>
      </w:r>
      <w:r>
        <w:rPr>
          <w:rFonts w:ascii="David" w:eastAsiaTheme="minorHAnsi" w:hAnsi="David" w:cs="David"/>
          <w:spacing w:val="0"/>
          <w:kern w:val="0"/>
          <w:sz w:val="24"/>
          <w:szCs w:val="24"/>
          <w:rtl/>
          <w14:ligatures w14:val="none"/>
        </w:rPr>
        <w:t xml:space="preserve">  (הכוונה כנראה ל- 2023-מ.ל)</w:t>
      </w:r>
      <w:r>
        <w:rPr>
          <w:rFonts w:ascii="David" w:eastAsiaTheme="minorHAnsi" w:hAnsi="David" w:cs="David"/>
          <w:b/>
          <w:bCs/>
          <w:spacing w:val="0"/>
          <w:kern w:val="0"/>
          <w:sz w:val="24"/>
          <w:szCs w:val="24"/>
          <w:rtl/>
          <w14:ligatures w14:val="none"/>
        </w:rPr>
        <w:t xml:space="preserve">; 26.2.2024 ו- 8.5.2024. בנסיבות אלו, סבור האפוטרופוס כי הבשילו התנאים לסיום כהונתו והוא מבקש מבית המשפט הנכבד לעשות כן." </w:t>
      </w:r>
      <w:r>
        <w:rPr>
          <w:rFonts w:ascii="David" w:eastAsiaTheme="minorHAnsi" w:hAnsi="David" w:cs="David"/>
          <w:spacing w:val="0"/>
          <w:kern w:val="0"/>
          <w:sz w:val="24"/>
          <w:szCs w:val="24"/>
          <w:rtl/>
          <w14:ligatures w14:val="none"/>
        </w:rPr>
        <w:t>כך, נתן הסכמתו "...</w:t>
      </w:r>
      <w:r>
        <w:rPr>
          <w:rFonts w:ascii="David" w:eastAsiaTheme="minorHAnsi" w:hAnsi="David" w:cs="David"/>
          <w:b/>
          <w:bCs/>
          <w:spacing w:val="0"/>
          <w:kern w:val="0"/>
          <w:sz w:val="24"/>
          <w:szCs w:val="24"/>
          <w:rtl/>
          <w14:ligatures w14:val="none"/>
        </w:rPr>
        <w:t>מראש להמשיך בתפקיד עד למציאת מחליף ולביצוע  "העברת מקל" מסודרת גם לאחר אישור סיום כהונתו.</w:t>
      </w:r>
      <w:r>
        <w:rPr>
          <w:rFonts w:ascii="David" w:eastAsiaTheme="minorHAnsi" w:hAnsi="David" w:cs="David"/>
          <w:spacing w:val="0"/>
          <w:kern w:val="0"/>
          <w:sz w:val="24"/>
          <w:szCs w:val="24"/>
          <w:rtl/>
          <w14:ligatures w14:val="none"/>
        </w:rPr>
        <w:t>"</w:t>
      </w:r>
    </w:p>
    <w:p w:rsidR="00C46876" w:rsidRDefault="00C46876" w:rsidP="00C46876">
      <w:pPr>
        <w:pStyle w:val="Ruller4"/>
        <w:tabs>
          <w:tab w:val="left" w:pos="720"/>
        </w:tabs>
        <w:ind w:left="720" w:hanging="720"/>
        <w:rPr>
          <w:rFonts w:ascii="David" w:eastAsiaTheme="minorHAnsi" w:hAnsi="David" w:cs="David"/>
          <w:b/>
          <w:bCs/>
          <w:spacing w:val="0"/>
          <w:kern w:val="0"/>
          <w:sz w:val="24"/>
          <w:szCs w:val="24"/>
          <w:rtl/>
          <w14:ligatures w14:val="none"/>
        </w:rPr>
      </w:pPr>
    </w:p>
    <w:p w:rsidR="00C46876" w:rsidRDefault="00C46876" w:rsidP="00C46876">
      <w:pPr>
        <w:pStyle w:val="Ruller4"/>
        <w:tabs>
          <w:tab w:val="left" w:pos="-2184"/>
        </w:tabs>
        <w:ind w:left="720" w:hanging="720"/>
        <w:rPr>
          <w:rFonts w:ascii="David" w:hAnsi="David" w:cs="David"/>
          <w:sz w:val="24"/>
          <w:szCs w:val="24"/>
          <w:rtl/>
        </w:rPr>
      </w:pPr>
      <w:r>
        <w:rPr>
          <w:rFonts w:ascii="David" w:eastAsiaTheme="minorHAnsi" w:hAnsi="David" w:cs="David"/>
          <w:spacing w:val="0"/>
          <w:kern w:val="0"/>
          <w:sz w:val="24"/>
          <w:szCs w:val="24"/>
          <w:rtl/>
          <w14:ligatures w14:val="none"/>
        </w:rPr>
        <w:t>14.</w:t>
      </w:r>
      <w:r>
        <w:rPr>
          <w:rFonts w:ascii="David" w:eastAsiaTheme="minorHAnsi" w:hAnsi="David" w:cs="David"/>
          <w:b/>
          <w:bCs/>
          <w:spacing w:val="0"/>
          <w:kern w:val="0"/>
          <w:sz w:val="24"/>
          <w:szCs w:val="24"/>
          <w:rtl/>
          <w14:ligatures w14:val="none"/>
        </w:rPr>
        <w:tab/>
      </w:r>
      <w:r>
        <w:rPr>
          <w:rFonts w:ascii="David" w:eastAsiaTheme="minorHAnsi" w:hAnsi="David" w:cs="David"/>
          <w:spacing w:val="0"/>
          <w:kern w:val="0"/>
          <w:sz w:val="24"/>
          <w:szCs w:val="24"/>
          <w:rtl/>
          <w14:ligatures w14:val="none"/>
        </w:rPr>
        <w:t>בתשובתה מיום 13/6/2024 הפנתה הגברת א. פ., רעייתו של מר מ</w:t>
      </w:r>
      <w:r>
        <w:rPr>
          <w:rFonts w:ascii="David" w:eastAsiaTheme="minorHAnsi" w:hAnsi="David" w:cs="David" w:hint="cs"/>
          <w:spacing w:val="0"/>
          <w:kern w:val="0"/>
          <w:sz w:val="24"/>
          <w:szCs w:val="24"/>
          <w:rtl/>
          <w14:ligatures w14:val="none"/>
        </w:rPr>
        <w:t>.</w:t>
      </w:r>
      <w:r>
        <w:rPr>
          <w:rFonts w:ascii="David" w:eastAsiaTheme="minorHAnsi" w:hAnsi="David" w:cs="David"/>
          <w:spacing w:val="0"/>
          <w:kern w:val="0"/>
          <w:sz w:val="24"/>
          <w:szCs w:val="24"/>
          <w:rtl/>
          <w14:ligatures w14:val="none"/>
        </w:rPr>
        <w:t xml:space="preserve"> פ. (להלן-</w:t>
      </w:r>
      <w:r>
        <w:rPr>
          <w:rFonts w:ascii="David" w:eastAsiaTheme="minorHAnsi" w:hAnsi="David" w:cs="David"/>
          <w:b/>
          <w:bCs/>
          <w:spacing w:val="0"/>
          <w:kern w:val="0"/>
          <w:sz w:val="24"/>
          <w:szCs w:val="24"/>
          <w:rtl/>
          <w14:ligatures w14:val="none"/>
        </w:rPr>
        <w:t>גב' פ.</w:t>
      </w:r>
      <w:r>
        <w:rPr>
          <w:rFonts w:ascii="David" w:eastAsiaTheme="minorHAnsi" w:hAnsi="David" w:cs="David"/>
          <w:spacing w:val="0"/>
          <w:kern w:val="0"/>
          <w:sz w:val="24"/>
          <w:szCs w:val="24"/>
          <w:rtl/>
          <w14:ligatures w14:val="none"/>
        </w:rPr>
        <w:t>) לרקע עובדתי הקשור בהליכים שונים בהם נדחו בקשותיהם של ילדיו של מר פ. להיות מעורבים בענייני החברות בבעלותה ובבעלותו של בעלה מר פ.. הפנתה, בין היתר, לפסק הדין שניתן ביום 13/9/2020 ב-</w:t>
      </w:r>
      <w:proofErr w:type="spellStart"/>
      <w:r>
        <w:rPr>
          <w:rFonts w:ascii="David" w:eastAsiaTheme="minorHAnsi" w:hAnsi="David" w:cs="David"/>
          <w:spacing w:val="0"/>
          <w:kern w:val="0"/>
          <w:sz w:val="24"/>
          <w:szCs w:val="24"/>
          <w:u w:val="single"/>
          <w:rtl/>
          <w14:ligatures w14:val="none"/>
        </w:rPr>
        <w:t>תמ"ש</w:t>
      </w:r>
      <w:proofErr w:type="spellEnd"/>
      <w:r>
        <w:rPr>
          <w:rFonts w:ascii="David" w:eastAsiaTheme="minorHAnsi" w:hAnsi="David" w:cs="David"/>
          <w:spacing w:val="0"/>
          <w:kern w:val="0"/>
          <w:sz w:val="24"/>
          <w:szCs w:val="24"/>
          <w:u w:val="single"/>
          <w:rtl/>
          <w14:ligatures w14:val="none"/>
        </w:rPr>
        <w:t xml:space="preserve"> 48434-01-17 </w:t>
      </w:r>
      <w:r>
        <w:rPr>
          <w:rFonts w:ascii="David" w:eastAsiaTheme="minorHAnsi" w:hAnsi="David" w:cs="David"/>
          <w:spacing w:val="0"/>
          <w:kern w:val="0"/>
          <w:sz w:val="24"/>
          <w:szCs w:val="24"/>
          <w:rtl/>
          <w14:ligatures w14:val="none"/>
        </w:rPr>
        <w:t xml:space="preserve">(ס' 83-82, 91, 94-93). עוד הפנתה לפסק דינה של כבוד השופטת פאני גילת כהן מיום 22/7/2021 ב- </w:t>
      </w:r>
      <w:proofErr w:type="spellStart"/>
      <w:r>
        <w:rPr>
          <w:rFonts w:ascii="David" w:eastAsiaTheme="minorHAnsi" w:hAnsi="David" w:cs="David"/>
          <w:spacing w:val="0"/>
          <w:kern w:val="0"/>
          <w:sz w:val="24"/>
          <w:szCs w:val="24"/>
          <w:u w:val="single"/>
          <w:rtl/>
          <w14:ligatures w14:val="none"/>
        </w:rPr>
        <w:t>תמ"ש</w:t>
      </w:r>
      <w:proofErr w:type="spellEnd"/>
      <w:r>
        <w:rPr>
          <w:rFonts w:ascii="David" w:eastAsiaTheme="minorHAnsi" w:hAnsi="David" w:cs="David"/>
          <w:spacing w:val="0"/>
          <w:kern w:val="0"/>
          <w:sz w:val="24"/>
          <w:szCs w:val="24"/>
          <w:u w:val="single"/>
          <w:rtl/>
          <w14:ligatures w14:val="none"/>
        </w:rPr>
        <w:t xml:space="preserve"> 12731-09-20  </w:t>
      </w:r>
      <w:r>
        <w:rPr>
          <w:rFonts w:ascii="David" w:eastAsiaTheme="minorHAnsi" w:hAnsi="David" w:cs="David"/>
          <w:spacing w:val="0"/>
          <w:kern w:val="0"/>
          <w:sz w:val="24"/>
          <w:szCs w:val="24"/>
          <w:rtl/>
          <w14:ligatures w14:val="none"/>
        </w:rPr>
        <w:t>בו קבעה</w:t>
      </w:r>
      <w:r>
        <w:rPr>
          <w:rFonts w:ascii="David" w:hAnsi="David" w:cs="David"/>
          <w:sz w:val="24"/>
          <w:szCs w:val="24"/>
          <w:rtl/>
        </w:rPr>
        <w:t xml:space="preserve"> "... </w:t>
      </w:r>
      <w:r>
        <w:rPr>
          <w:rFonts w:ascii="David" w:eastAsiaTheme="minorHAnsi" w:hAnsi="David" w:cs="David"/>
          <w:b/>
          <w:bCs/>
          <w:spacing w:val="0"/>
          <w:kern w:val="0"/>
          <w:sz w:val="24"/>
          <w:szCs w:val="24"/>
          <w:rtl/>
          <w14:ligatures w14:val="none"/>
        </w:rPr>
        <w:t>שאין כל מקום למינוי מי מקרב בני המשפחה גם לא א. ו/או נ. אפוטרופוס לענייני הרכוש העסקי של מ</w:t>
      </w:r>
      <w:r>
        <w:rPr>
          <w:rFonts w:ascii="David" w:eastAsiaTheme="minorHAnsi" w:hAnsi="David" w:cs="David" w:hint="cs"/>
          <w:b/>
          <w:bCs/>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 הליכה בדרך זו, כפי הנראה, </w:t>
      </w:r>
      <w:r>
        <w:rPr>
          <w:rFonts w:ascii="David" w:eastAsiaTheme="minorHAnsi" w:hAnsi="David" w:cs="David"/>
          <w:b/>
          <w:bCs/>
          <w:spacing w:val="0"/>
          <w:kern w:val="0"/>
          <w:sz w:val="24"/>
          <w:szCs w:val="24"/>
          <w:u w:val="single"/>
          <w:rtl/>
          <w14:ligatures w14:val="none"/>
        </w:rPr>
        <w:t>תעצים את ממדי הסכסוך המשפחת</w:t>
      </w:r>
      <w:r>
        <w:rPr>
          <w:rFonts w:ascii="David" w:eastAsiaTheme="minorHAnsi" w:hAnsi="David" w:cs="David"/>
          <w:b/>
          <w:bCs/>
          <w:spacing w:val="0"/>
          <w:kern w:val="0"/>
          <w:sz w:val="24"/>
          <w:szCs w:val="24"/>
          <w:rtl/>
          <w14:ligatures w14:val="none"/>
        </w:rPr>
        <w:t xml:space="preserve">י תעמיק את הפילוג בין בני המשפחה תייצר יריבות נוספת ותוליד הליכים משפטיים נוספים תוך המשך </w:t>
      </w:r>
      <w:r>
        <w:rPr>
          <w:rFonts w:ascii="David" w:eastAsiaTheme="minorHAnsi" w:hAnsi="David" w:cs="David"/>
          <w:b/>
          <w:bCs/>
          <w:spacing w:val="0"/>
          <w:kern w:val="0"/>
          <w:sz w:val="24"/>
          <w:szCs w:val="24"/>
          <w:u w:val="single"/>
          <w:rtl/>
          <w14:ligatures w14:val="none"/>
        </w:rPr>
        <w:t>העמדה</w:t>
      </w:r>
      <w:r>
        <w:rPr>
          <w:rFonts w:ascii="David" w:eastAsiaTheme="minorHAnsi" w:hAnsi="David" w:cs="David"/>
          <w:b/>
          <w:bCs/>
          <w:spacing w:val="0"/>
          <w:kern w:val="0"/>
          <w:sz w:val="24"/>
          <w:szCs w:val="24"/>
          <w:rtl/>
          <w14:ligatures w14:val="none"/>
        </w:rPr>
        <w:t xml:space="preserve"> </w:t>
      </w:r>
      <w:r>
        <w:rPr>
          <w:rFonts w:ascii="David" w:eastAsiaTheme="minorHAnsi" w:hAnsi="David" w:cs="David"/>
          <w:b/>
          <w:bCs/>
          <w:spacing w:val="0"/>
          <w:kern w:val="0"/>
          <w:sz w:val="24"/>
          <w:szCs w:val="24"/>
          <w:u w:val="single"/>
          <w:rtl/>
          <w14:ligatures w14:val="none"/>
        </w:rPr>
        <w:t>של החברה בסיכון של ממש</w:t>
      </w:r>
      <w:r>
        <w:rPr>
          <w:rFonts w:ascii="David" w:eastAsiaTheme="minorHAnsi" w:hAnsi="David" w:cs="David"/>
          <w:b/>
          <w:bCs/>
          <w:spacing w:val="0"/>
          <w:kern w:val="0"/>
          <w:sz w:val="24"/>
          <w:szCs w:val="24"/>
          <w:rtl/>
          <w14:ligatures w14:val="none"/>
        </w:rPr>
        <w:t>"</w:t>
      </w:r>
      <w:r>
        <w:rPr>
          <w:rFonts w:ascii="David" w:hAnsi="David" w:cs="David"/>
          <w:sz w:val="24"/>
          <w:szCs w:val="24"/>
          <w:rtl/>
        </w:rPr>
        <w:t xml:space="preserve"> .</w:t>
      </w:r>
    </w:p>
    <w:p w:rsidR="00C46876" w:rsidRDefault="00C46876" w:rsidP="00C46876">
      <w:pPr>
        <w:pStyle w:val="Ruller4"/>
        <w:rPr>
          <w:rFonts w:ascii="David" w:eastAsiaTheme="minorHAnsi" w:hAnsi="David" w:cs="David"/>
          <w:spacing w:val="0"/>
          <w:kern w:val="0"/>
          <w:sz w:val="24"/>
          <w:szCs w:val="24"/>
          <w:rtl/>
          <w14:ligatures w14:val="none"/>
        </w:rPr>
      </w:pPr>
    </w:p>
    <w:p w:rsidR="00C46876" w:rsidRDefault="00C46876" w:rsidP="00C46876">
      <w:pPr>
        <w:pStyle w:val="Ruller4"/>
        <w:tabs>
          <w:tab w:val="left" w:pos="720"/>
        </w:tabs>
        <w:ind w:left="720"/>
        <w:rPr>
          <w:rFonts w:ascii="David" w:hAnsi="David" w:cs="David"/>
          <w:sz w:val="24"/>
          <w:szCs w:val="24"/>
          <w:u w:val="single"/>
        </w:rPr>
      </w:pPr>
      <w:r>
        <w:rPr>
          <w:rFonts w:ascii="David" w:eastAsiaTheme="minorHAnsi" w:hAnsi="David" w:cs="David"/>
          <w:spacing w:val="0"/>
          <w:kern w:val="0"/>
          <w:sz w:val="24"/>
          <w:szCs w:val="24"/>
          <w:rtl/>
          <w14:ligatures w14:val="none"/>
        </w:rPr>
        <w:t xml:space="preserve">המשיכה וטענה הגב' פ. ביחס לקביעתה של כבוד השופטת גילת כהן באשר למינויו של מר </w:t>
      </w:r>
      <w:proofErr w:type="spellStart"/>
      <w:r>
        <w:rPr>
          <w:rFonts w:ascii="David" w:eastAsiaTheme="minorHAnsi" w:hAnsi="David" w:cs="David"/>
          <w:spacing w:val="0"/>
          <w:kern w:val="0"/>
          <w:sz w:val="24"/>
          <w:szCs w:val="24"/>
          <w:rtl/>
          <w14:ligatures w14:val="none"/>
        </w:rPr>
        <w:t>רו</w:t>
      </w:r>
      <w:proofErr w:type="spellEnd"/>
      <w:r>
        <w:rPr>
          <w:rFonts w:ascii="David" w:eastAsiaTheme="minorHAnsi" w:hAnsi="David" w:cs="David"/>
          <w:spacing w:val="0"/>
          <w:kern w:val="0"/>
          <w:sz w:val="24"/>
          <w:szCs w:val="24"/>
          <w:rtl/>
          <w14:ligatures w14:val="none"/>
        </w:rPr>
        <w:t>. לשמש לצד תפקידו כאפוטרופוס לרכוש העסקי גם כנאמן לרכושה של הרעייה, א. ובזו הלשון</w:t>
      </w:r>
      <w:r>
        <w:rPr>
          <w:rFonts w:ascii="David" w:hAnsi="David" w:cs="David"/>
          <w:sz w:val="24"/>
          <w:szCs w:val="24"/>
          <w:rtl/>
        </w:rPr>
        <w:t>: "</w:t>
      </w:r>
      <w:r>
        <w:rPr>
          <w:rFonts w:ascii="David" w:eastAsiaTheme="minorHAnsi" w:hAnsi="David" w:cs="David"/>
          <w:b/>
          <w:bCs/>
          <w:spacing w:val="0"/>
          <w:kern w:val="0"/>
          <w:sz w:val="24"/>
          <w:szCs w:val="24"/>
          <w:rtl/>
          <w14:ligatures w14:val="none"/>
        </w:rPr>
        <w:t>כאמור האפוטרופוס שימונה, אמון גם על חלקה של התובעת (א.-הח"מ) במניות מ</w:t>
      </w:r>
      <w:r>
        <w:rPr>
          <w:rFonts w:ascii="David" w:eastAsiaTheme="minorHAnsi" w:hAnsi="David" w:cs="David" w:hint="cs"/>
          <w:b/>
          <w:bCs/>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 וישמש גם כנאמן עבורה. לפיכך, מצאתי לקבל הצעת האפוטרופוס לדין שזכה גם להסכמה מצד התובעת למנות את מר י</w:t>
      </w:r>
      <w:r>
        <w:rPr>
          <w:rFonts w:ascii="David" w:eastAsiaTheme="minorHAnsi" w:hAnsi="David" w:cs="David" w:hint="cs"/>
          <w:b/>
          <w:bCs/>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 </w:t>
      </w:r>
      <w:proofErr w:type="spellStart"/>
      <w:r>
        <w:rPr>
          <w:rFonts w:ascii="David" w:eastAsiaTheme="minorHAnsi" w:hAnsi="David" w:cs="David"/>
          <w:b/>
          <w:bCs/>
          <w:spacing w:val="0"/>
          <w:kern w:val="0"/>
          <w:sz w:val="24"/>
          <w:szCs w:val="24"/>
          <w:rtl/>
          <w14:ligatures w14:val="none"/>
        </w:rPr>
        <w:t>רו</w:t>
      </w:r>
      <w:proofErr w:type="spellEnd"/>
      <w:r>
        <w:rPr>
          <w:rFonts w:ascii="David" w:eastAsiaTheme="minorHAnsi" w:hAnsi="David" w:cs="David"/>
          <w:b/>
          <w:bCs/>
          <w:spacing w:val="0"/>
          <w:kern w:val="0"/>
          <w:sz w:val="24"/>
          <w:szCs w:val="24"/>
          <w:rtl/>
          <w14:ligatures w14:val="none"/>
        </w:rPr>
        <w:t>. כי האפוטרופוס לענייני  הרכוש העסקי של מ</w:t>
      </w:r>
      <w:r>
        <w:rPr>
          <w:rFonts w:ascii="David" w:eastAsiaTheme="minorHAnsi" w:hAnsi="David" w:cs="David" w:hint="cs"/>
          <w:b/>
          <w:bCs/>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 (ס' 99 לפסק הדין מיום 22.7.2021 ב-</w:t>
      </w:r>
      <w:proofErr w:type="spellStart"/>
      <w:r>
        <w:rPr>
          <w:rFonts w:ascii="David" w:eastAsiaTheme="minorHAnsi" w:hAnsi="David" w:cs="David"/>
          <w:b/>
          <w:bCs/>
          <w:spacing w:val="0"/>
          <w:kern w:val="0"/>
          <w:sz w:val="24"/>
          <w:szCs w:val="24"/>
          <w:rtl/>
          <w14:ligatures w14:val="none"/>
        </w:rPr>
        <w:t>תמ"ש</w:t>
      </w:r>
      <w:proofErr w:type="spellEnd"/>
      <w:r>
        <w:rPr>
          <w:rFonts w:ascii="David" w:eastAsiaTheme="minorHAnsi" w:hAnsi="David" w:cs="David"/>
          <w:b/>
          <w:bCs/>
          <w:spacing w:val="0"/>
          <w:kern w:val="0"/>
          <w:sz w:val="24"/>
          <w:szCs w:val="24"/>
          <w:rtl/>
          <w14:ligatures w14:val="none"/>
        </w:rPr>
        <w:t xml:space="preserve"> 12731-09-20)"</w:t>
      </w:r>
      <w:r>
        <w:rPr>
          <w:rFonts w:ascii="David" w:hAnsi="David" w:cs="David"/>
          <w:sz w:val="24"/>
          <w:szCs w:val="24"/>
          <w:rtl/>
        </w:rPr>
        <w:t xml:space="preserve"> </w:t>
      </w:r>
      <w:r>
        <w:rPr>
          <w:rFonts w:ascii="David" w:eastAsiaTheme="minorHAnsi" w:hAnsi="David" w:cs="David"/>
          <w:spacing w:val="0"/>
          <w:kern w:val="0"/>
          <w:sz w:val="24"/>
          <w:szCs w:val="24"/>
          <w:rtl/>
          <w14:ligatures w14:val="none"/>
        </w:rPr>
        <w:t>(ס' 3 לתגובת</w:t>
      </w:r>
      <w:r>
        <w:rPr>
          <w:rFonts w:ascii="David" w:hAnsi="David" w:cs="David"/>
          <w:sz w:val="24"/>
          <w:szCs w:val="24"/>
          <w:rtl/>
        </w:rPr>
        <w:t xml:space="preserve"> </w:t>
      </w:r>
      <w:r>
        <w:rPr>
          <w:rFonts w:ascii="David" w:eastAsiaTheme="minorHAnsi" w:hAnsi="David" w:cs="David"/>
          <w:spacing w:val="0"/>
          <w:kern w:val="0"/>
          <w:sz w:val="24"/>
          <w:szCs w:val="24"/>
          <w:rtl/>
          <w14:ligatures w14:val="none"/>
        </w:rPr>
        <w:t xml:space="preserve">גב' פ. לבקשתם של א. </w:t>
      </w:r>
      <w:proofErr w:type="spellStart"/>
      <w:r>
        <w:rPr>
          <w:rFonts w:ascii="David" w:eastAsiaTheme="minorHAnsi" w:hAnsi="David" w:cs="David"/>
          <w:spacing w:val="0"/>
          <w:kern w:val="0"/>
          <w:sz w:val="24"/>
          <w:szCs w:val="24"/>
          <w:rtl/>
          <w14:ligatures w14:val="none"/>
        </w:rPr>
        <w:t>ורא</w:t>
      </w:r>
      <w:proofErr w:type="spellEnd"/>
      <w:r>
        <w:rPr>
          <w:rFonts w:ascii="David" w:eastAsiaTheme="minorHAnsi" w:hAnsi="David" w:cs="David"/>
          <w:spacing w:val="0"/>
          <w:kern w:val="0"/>
          <w:sz w:val="24"/>
          <w:szCs w:val="24"/>
          <w:rtl/>
          <w14:ligatures w14:val="none"/>
        </w:rPr>
        <w:t>.).</w:t>
      </w:r>
      <w:r>
        <w:rPr>
          <w:rFonts w:ascii="David" w:hAnsi="David" w:cs="David"/>
          <w:sz w:val="24"/>
          <w:szCs w:val="24"/>
          <w:rtl/>
        </w:rPr>
        <w:t xml:space="preserve">  </w:t>
      </w:r>
    </w:p>
    <w:p w:rsidR="00C46876" w:rsidRDefault="00C46876" w:rsidP="00C46876">
      <w:pPr>
        <w:pStyle w:val="Ruller4"/>
        <w:rPr>
          <w:rFonts w:ascii="David" w:hAnsi="David" w:cs="David"/>
          <w:sz w:val="24"/>
          <w:szCs w:val="24"/>
          <w:rtl/>
        </w:rPr>
      </w:pPr>
      <w:r>
        <w:rPr>
          <w:rFonts w:ascii="David" w:hAnsi="David" w:cs="David"/>
          <w:sz w:val="24"/>
          <w:szCs w:val="24"/>
          <w:rtl/>
        </w:rPr>
        <w:tab/>
      </w:r>
    </w:p>
    <w:p w:rsidR="00C46876" w:rsidRDefault="00C46876" w:rsidP="00C46876">
      <w:pPr>
        <w:pStyle w:val="Ruller4"/>
        <w:tabs>
          <w:tab w:val="left" w:pos="720"/>
        </w:tabs>
        <w:ind w:left="720"/>
        <w:rPr>
          <w:rFonts w:ascii="David" w:hAnsi="David" w:cs="David"/>
          <w:sz w:val="24"/>
          <w:szCs w:val="24"/>
          <w:rtl/>
        </w:rPr>
      </w:pPr>
      <w:r>
        <w:rPr>
          <w:rFonts w:ascii="David" w:eastAsiaTheme="minorHAnsi" w:hAnsi="David" w:cs="David"/>
          <w:spacing w:val="0"/>
          <w:kern w:val="0"/>
          <w:sz w:val="24"/>
          <w:szCs w:val="24"/>
          <w:rtl/>
          <w14:ligatures w14:val="none"/>
        </w:rPr>
        <w:t xml:space="preserve">בנסיבות אלו סברה הגב' פ. שנוכח התפטרותו של מר </w:t>
      </w:r>
      <w:proofErr w:type="spellStart"/>
      <w:r>
        <w:rPr>
          <w:rFonts w:ascii="David" w:eastAsiaTheme="minorHAnsi" w:hAnsi="David" w:cs="David"/>
          <w:spacing w:val="0"/>
          <w:kern w:val="0"/>
          <w:sz w:val="24"/>
          <w:szCs w:val="24"/>
          <w:rtl/>
          <w14:ligatures w14:val="none"/>
        </w:rPr>
        <w:t>רו</w:t>
      </w:r>
      <w:proofErr w:type="spellEnd"/>
      <w:r>
        <w:rPr>
          <w:rFonts w:ascii="David" w:eastAsiaTheme="minorHAnsi" w:hAnsi="David" w:cs="David"/>
          <w:spacing w:val="0"/>
          <w:kern w:val="0"/>
          <w:sz w:val="24"/>
          <w:szCs w:val="24"/>
          <w:rtl/>
          <w14:ligatures w14:val="none"/>
        </w:rPr>
        <w:t>. הרי החלטתו של כבוד השופט ממן מיום 8/12/2023 שהורתה על צירוף בניו של מר פ. להליך הפכה לבלתי רלוונטית "</w:t>
      </w:r>
      <w:r>
        <w:rPr>
          <w:rFonts w:ascii="David" w:eastAsiaTheme="minorHAnsi" w:hAnsi="David" w:cs="David"/>
          <w:b/>
          <w:bCs/>
          <w:spacing w:val="0"/>
          <w:kern w:val="0"/>
          <w:sz w:val="24"/>
          <w:szCs w:val="24"/>
          <w:rtl/>
          <w14:ligatures w14:val="none"/>
        </w:rPr>
        <w:t>משרו. התפטר, הבנים לא נדרשים עוד לחוות דעתם ביחס לשכרו, וממילא גם אין צורך בקביעת מנגנון לפיקוח על שכרו</w:t>
      </w:r>
      <w:r>
        <w:rPr>
          <w:rFonts w:ascii="David" w:eastAsiaTheme="minorHAnsi" w:hAnsi="David" w:cs="David"/>
          <w:spacing w:val="0"/>
          <w:kern w:val="0"/>
          <w:sz w:val="24"/>
          <w:szCs w:val="24"/>
          <w:rtl/>
          <w14:ligatures w14:val="none"/>
        </w:rPr>
        <w:t>. ...</w:t>
      </w:r>
      <w:r>
        <w:rPr>
          <w:rFonts w:ascii="David" w:eastAsiaTheme="minorHAnsi" w:hAnsi="David" w:cs="David"/>
          <w:b/>
          <w:bCs/>
          <w:spacing w:val="0"/>
          <w:kern w:val="0"/>
          <w:sz w:val="24"/>
          <w:szCs w:val="24"/>
          <w:rtl/>
          <w14:ligatures w14:val="none"/>
        </w:rPr>
        <w:t xml:space="preserve">החברות חזרו לנקודת ההתחלה בה היו לפני שלוש  </w:t>
      </w:r>
      <w:r>
        <w:rPr>
          <w:rFonts w:ascii="David" w:eastAsiaTheme="minorHAnsi" w:hAnsi="David" w:cs="David"/>
          <w:b/>
          <w:bCs/>
          <w:spacing w:val="0"/>
          <w:kern w:val="0"/>
          <w:sz w:val="24"/>
          <w:szCs w:val="24"/>
          <w:rtl/>
          <w14:ligatures w14:val="none"/>
        </w:rPr>
        <w:lastRenderedPageBreak/>
        <w:t xml:space="preserve">שנים טרם מונה </w:t>
      </w:r>
      <w:proofErr w:type="spellStart"/>
      <w:r>
        <w:rPr>
          <w:rFonts w:ascii="David" w:eastAsiaTheme="minorHAnsi" w:hAnsi="David" w:cs="David"/>
          <w:b/>
          <w:bCs/>
          <w:spacing w:val="0"/>
          <w:kern w:val="0"/>
          <w:sz w:val="24"/>
          <w:szCs w:val="24"/>
          <w:rtl/>
          <w14:ligatures w14:val="none"/>
        </w:rPr>
        <w:t>רו</w:t>
      </w:r>
      <w:proofErr w:type="spellEnd"/>
      <w:r>
        <w:rPr>
          <w:rFonts w:ascii="David" w:eastAsiaTheme="minorHAnsi" w:hAnsi="David" w:cs="David"/>
          <w:b/>
          <w:bCs/>
          <w:spacing w:val="0"/>
          <w:kern w:val="0"/>
          <w:sz w:val="24"/>
          <w:szCs w:val="24"/>
          <w:rtl/>
          <w14:ligatures w14:val="none"/>
        </w:rPr>
        <w:t xml:space="preserve">.. כעת נדרש בית המשפט הנכבד למנות אפוטרופוס לרכוש העסקי  תחת </w:t>
      </w:r>
      <w:proofErr w:type="spellStart"/>
      <w:r>
        <w:rPr>
          <w:rFonts w:ascii="David" w:eastAsiaTheme="minorHAnsi" w:hAnsi="David" w:cs="David"/>
          <w:b/>
          <w:bCs/>
          <w:spacing w:val="0"/>
          <w:kern w:val="0"/>
          <w:sz w:val="24"/>
          <w:szCs w:val="24"/>
          <w:rtl/>
          <w14:ligatures w14:val="none"/>
        </w:rPr>
        <w:t>רו</w:t>
      </w:r>
      <w:proofErr w:type="spellEnd"/>
      <w:r>
        <w:rPr>
          <w:rFonts w:ascii="David" w:eastAsiaTheme="minorHAnsi" w:hAnsi="David" w:cs="David"/>
          <w:b/>
          <w:bCs/>
          <w:spacing w:val="0"/>
          <w:kern w:val="0"/>
          <w:sz w:val="24"/>
          <w:szCs w:val="24"/>
          <w:rtl/>
          <w14:ligatures w14:val="none"/>
        </w:rPr>
        <w:t>. ולקבוע את שכרו; ובתוך כך, נאמן לזכויותיה של א.</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השאלה החשובה לדעתם היא מי יהיו הצדדים להליך במסגרתו ימונה אפוטרופוס לרכוש העסקי וייקבע שכרו</w:t>
      </w:r>
      <w:r>
        <w:rPr>
          <w:rFonts w:ascii="David" w:hAnsi="David" w:cs="David"/>
          <w:sz w:val="24"/>
          <w:szCs w:val="24"/>
          <w:rtl/>
        </w:rPr>
        <w:t>".</w:t>
      </w:r>
    </w:p>
    <w:p w:rsidR="00C46876" w:rsidRDefault="00C46876" w:rsidP="00C46876">
      <w:pPr>
        <w:pStyle w:val="Ruller4"/>
        <w:tabs>
          <w:tab w:val="left" w:pos="720"/>
        </w:tabs>
        <w:ind w:left="720"/>
        <w:rPr>
          <w:rFonts w:ascii="David" w:hAnsi="David" w:cs="David"/>
          <w:sz w:val="24"/>
          <w:szCs w:val="24"/>
          <w:rtl/>
        </w:rPr>
      </w:pPr>
    </w:p>
    <w:p w:rsidR="00C46876" w:rsidRDefault="00C46876" w:rsidP="00C46876">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לטענתה "</w:t>
      </w:r>
      <w:r>
        <w:rPr>
          <w:rFonts w:ascii="David" w:eastAsiaTheme="minorHAnsi" w:hAnsi="David" w:cs="David"/>
          <w:b/>
          <w:bCs/>
          <w:spacing w:val="0"/>
          <w:kern w:val="0"/>
          <w:sz w:val="24"/>
          <w:szCs w:val="24"/>
          <w:rtl/>
          <w14:ligatures w14:val="none"/>
        </w:rPr>
        <w:t>העובדות הוכיחו -מתן דריסת רגל לבנים ולו הקטנה ביותר פוגעת בחברות פגיעה קשה</w:t>
      </w:r>
      <w:r>
        <w:rPr>
          <w:rFonts w:ascii="David" w:eastAsiaTheme="minorHAnsi" w:hAnsi="David" w:cs="David"/>
          <w:spacing w:val="0"/>
          <w:kern w:val="0"/>
          <w:sz w:val="24"/>
          <w:szCs w:val="24"/>
          <w:rtl/>
          <w14:ligatures w14:val="none"/>
        </w:rPr>
        <w:t>" שכן "...ב</w:t>
      </w:r>
      <w:r>
        <w:rPr>
          <w:rFonts w:ascii="David" w:eastAsiaTheme="minorHAnsi" w:hAnsi="David" w:cs="David"/>
          <w:b/>
          <w:bCs/>
          <w:spacing w:val="0"/>
          <w:kern w:val="0"/>
          <w:sz w:val="24"/>
          <w:szCs w:val="24"/>
          <w:rtl/>
          <w14:ligatures w14:val="none"/>
        </w:rPr>
        <w:t xml:space="preserve">רור שמה שהבנים עשו </w:t>
      </w:r>
      <w:proofErr w:type="spellStart"/>
      <w:r>
        <w:rPr>
          <w:rFonts w:ascii="David" w:eastAsiaTheme="minorHAnsi" w:hAnsi="David" w:cs="David"/>
          <w:b/>
          <w:bCs/>
          <w:spacing w:val="0"/>
          <w:kern w:val="0"/>
          <w:sz w:val="24"/>
          <w:szCs w:val="24"/>
          <w:rtl/>
          <w14:ligatures w14:val="none"/>
        </w:rPr>
        <w:t>לרו</w:t>
      </w:r>
      <w:proofErr w:type="spellEnd"/>
      <w:r>
        <w:rPr>
          <w:rFonts w:ascii="David" w:eastAsiaTheme="minorHAnsi" w:hAnsi="David" w:cs="David"/>
          <w:b/>
          <w:bCs/>
          <w:spacing w:val="0"/>
          <w:kern w:val="0"/>
          <w:sz w:val="24"/>
          <w:szCs w:val="24"/>
          <w:rtl/>
          <w14:ligatures w14:val="none"/>
        </w:rPr>
        <w:t>. הם יעשו לכל גורם שימונה עד אשר הם בעצמם ימונ</w:t>
      </w:r>
      <w:r>
        <w:rPr>
          <w:rFonts w:ascii="David" w:eastAsiaTheme="minorHAnsi" w:hAnsi="David" w:cs="David"/>
          <w:spacing w:val="0"/>
          <w:kern w:val="0"/>
          <w:sz w:val="24"/>
          <w:szCs w:val="24"/>
          <w:rtl/>
          <w14:ligatures w14:val="none"/>
        </w:rPr>
        <w:t>ו..." גב' פ. הדגישה ש"...</w:t>
      </w:r>
      <w:r>
        <w:rPr>
          <w:rFonts w:ascii="David" w:eastAsiaTheme="minorHAnsi" w:hAnsi="David" w:cs="David"/>
          <w:b/>
          <w:bCs/>
          <w:spacing w:val="0"/>
          <w:kern w:val="0"/>
          <w:sz w:val="24"/>
          <w:szCs w:val="24"/>
          <w:rtl/>
          <w14:ligatures w14:val="none"/>
        </w:rPr>
        <w:t>היא בעלת הזכות החלוטה למחצית מהמניות בחברות ומי שכל גורם שימונה חייב לשמש כנאמן גם עבורה</w:t>
      </w:r>
      <w:r>
        <w:rPr>
          <w:rFonts w:ascii="David" w:eastAsiaTheme="minorHAnsi" w:hAnsi="David" w:cs="David"/>
          <w:spacing w:val="0"/>
          <w:kern w:val="0"/>
          <w:sz w:val="24"/>
          <w:szCs w:val="24"/>
          <w:rtl/>
          <w14:ligatures w14:val="none"/>
        </w:rPr>
        <w:t>."</w:t>
      </w:r>
    </w:p>
    <w:p w:rsidR="00C46876" w:rsidRDefault="00C46876" w:rsidP="00C46876">
      <w:pPr>
        <w:pStyle w:val="Ruller4"/>
        <w:tabs>
          <w:tab w:val="left" w:pos="720"/>
        </w:tabs>
        <w:ind w:left="720"/>
        <w:rPr>
          <w:rFonts w:ascii="David" w:eastAsiaTheme="minorHAnsi" w:hAnsi="David" w:cs="David"/>
          <w:spacing w:val="0"/>
          <w:kern w:val="0"/>
          <w:sz w:val="24"/>
          <w:szCs w:val="24"/>
          <w:rtl/>
          <w14:ligatures w14:val="none"/>
        </w:rPr>
      </w:pPr>
    </w:p>
    <w:p w:rsidR="00C46876" w:rsidRDefault="00C46876" w:rsidP="00C46876">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גב' פ. שבה על ההליכים משפטיים בין הצדדים  הפנתה להחלטותיה של כבוד השופטת פאני גילת כהן שדחתה את בקשתם לקבל דריסת רגל, החלטות שכוחן יפה גם לעת הזו, ועתרה שאין לתת "...</w:t>
      </w:r>
      <w:r>
        <w:rPr>
          <w:rFonts w:ascii="David" w:eastAsiaTheme="minorHAnsi" w:hAnsi="David" w:cs="David"/>
          <w:b/>
          <w:bCs/>
          <w:spacing w:val="0"/>
          <w:kern w:val="0"/>
          <w:sz w:val="24"/>
          <w:szCs w:val="24"/>
          <w:rtl/>
          <w14:ligatures w14:val="none"/>
        </w:rPr>
        <w:t xml:space="preserve">מידע לבנים ולא. </w:t>
      </w:r>
      <w:proofErr w:type="spellStart"/>
      <w:r>
        <w:rPr>
          <w:rFonts w:ascii="David" w:eastAsiaTheme="minorHAnsi" w:hAnsi="David" w:cs="David"/>
          <w:b/>
          <w:bCs/>
          <w:spacing w:val="0"/>
          <w:kern w:val="0"/>
          <w:sz w:val="24"/>
          <w:szCs w:val="24"/>
          <w:rtl/>
          <w14:ligatures w14:val="none"/>
        </w:rPr>
        <w:t>ולרא</w:t>
      </w:r>
      <w:proofErr w:type="spellEnd"/>
      <w:r>
        <w:rPr>
          <w:rFonts w:ascii="David" w:eastAsiaTheme="minorHAnsi" w:hAnsi="David" w:cs="David"/>
          <w:b/>
          <w:bCs/>
          <w:spacing w:val="0"/>
          <w:kern w:val="0"/>
          <w:sz w:val="24"/>
          <w:szCs w:val="24"/>
          <w:rtl/>
          <w14:ligatures w14:val="none"/>
        </w:rPr>
        <w:t>. בפרט ביחס לחברות, ואין לאפשר להם דריסת רגל בענייני החברות, בין היתר, משום שהם מתחרים בחברות , והדבר עלול להביא לפגיעה בחברות וליבוי הסכסוך המשפטי</w:t>
      </w:r>
      <w:r>
        <w:rPr>
          <w:rFonts w:ascii="David" w:eastAsiaTheme="minorHAnsi" w:hAnsi="David" w:cs="David"/>
          <w:spacing w:val="0"/>
          <w:kern w:val="0"/>
          <w:sz w:val="24"/>
          <w:szCs w:val="24"/>
          <w:rtl/>
          <w14:ligatures w14:val="none"/>
        </w:rPr>
        <w:t xml:space="preserve">." </w:t>
      </w:r>
    </w:p>
    <w:p w:rsidR="00C46876" w:rsidRDefault="00C46876" w:rsidP="00C46876">
      <w:pPr>
        <w:pStyle w:val="Ruller4"/>
        <w:rPr>
          <w:rFonts w:ascii="David" w:eastAsiaTheme="minorHAnsi" w:hAnsi="David" w:cs="David"/>
          <w:spacing w:val="0"/>
          <w:kern w:val="0"/>
          <w:sz w:val="24"/>
          <w:szCs w:val="24"/>
          <w:rtl/>
          <w14:ligatures w14:val="none"/>
        </w:rPr>
      </w:pPr>
    </w:p>
    <w:p w:rsidR="00C46876" w:rsidRDefault="00C46876" w:rsidP="00C46876">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 xml:space="preserve">גב' פ. הפנתה להחלטה בה נבחנו טענות הבנים למעמדם ביחס לחברות וכל טענותיהם נדחו.  לקביעות אלו טענה, הצטרף גם בא כוח האפוטרופוס הכללי. </w:t>
      </w:r>
    </w:p>
    <w:p w:rsidR="00C46876" w:rsidRDefault="00C46876" w:rsidP="00C46876">
      <w:pPr>
        <w:pStyle w:val="Ruller4"/>
        <w:tabs>
          <w:tab w:val="left" w:pos="720"/>
        </w:tabs>
        <w:ind w:left="714" w:hanging="630"/>
        <w:rPr>
          <w:rFonts w:ascii="David" w:eastAsiaTheme="minorHAnsi" w:hAnsi="David" w:cs="David"/>
          <w:spacing w:val="0"/>
          <w:kern w:val="0"/>
          <w:sz w:val="24"/>
          <w:szCs w:val="24"/>
          <w14:ligatures w14:val="none"/>
        </w:rPr>
      </w:pPr>
    </w:p>
    <w:p w:rsidR="00C46876" w:rsidRDefault="00C46876" w:rsidP="00C46876">
      <w:pPr>
        <w:pStyle w:val="Ruller4"/>
        <w:tabs>
          <w:tab w:val="left" w:pos="720"/>
        </w:tabs>
        <w:ind w:left="714" w:firstLine="6"/>
        <w:rPr>
          <w:rFonts w:ascii="David" w:hAnsi="David" w:cs="David"/>
          <w:sz w:val="24"/>
          <w:szCs w:val="24"/>
          <w:rtl/>
        </w:rPr>
      </w:pPr>
      <w:r>
        <w:rPr>
          <w:rFonts w:ascii="David" w:eastAsiaTheme="minorHAnsi" w:hAnsi="David" w:cs="David"/>
          <w:spacing w:val="0"/>
          <w:kern w:val="0"/>
          <w:sz w:val="24"/>
          <w:szCs w:val="24"/>
          <w:rtl/>
          <w14:ligatures w14:val="none"/>
        </w:rPr>
        <w:t>עוד טענה ש"...</w:t>
      </w:r>
      <w:r>
        <w:rPr>
          <w:rFonts w:ascii="David" w:eastAsiaTheme="minorHAnsi" w:hAnsi="David" w:cs="David"/>
          <w:b/>
          <w:bCs/>
          <w:spacing w:val="0"/>
          <w:kern w:val="0"/>
          <w:sz w:val="24"/>
          <w:szCs w:val="24"/>
          <w:rtl/>
          <w14:ligatures w14:val="none"/>
        </w:rPr>
        <w:t xml:space="preserve">במהלך הדיון בערעור, ביהמ"ש המחוזי הותיר בידי בית משפט נכבד זה את שיקול הדעת המוחלט והבלעדי להכריע בשאלה מי מהצדדים יהא צד לדיון שייערך בקביעת מנגנון הפיקוח על </w:t>
      </w:r>
      <w:proofErr w:type="spellStart"/>
      <w:r>
        <w:rPr>
          <w:rFonts w:ascii="David" w:eastAsiaTheme="minorHAnsi" w:hAnsi="David" w:cs="David"/>
          <w:b/>
          <w:bCs/>
          <w:spacing w:val="0"/>
          <w:kern w:val="0"/>
          <w:sz w:val="24"/>
          <w:szCs w:val="24"/>
          <w:rtl/>
          <w14:ligatures w14:val="none"/>
        </w:rPr>
        <w:t>השכרו</w:t>
      </w:r>
      <w:proofErr w:type="spellEnd"/>
      <w:r>
        <w:rPr>
          <w:rFonts w:ascii="David" w:eastAsiaTheme="minorHAnsi" w:hAnsi="David" w:cs="David"/>
          <w:b/>
          <w:bCs/>
          <w:spacing w:val="0"/>
          <w:kern w:val="0"/>
          <w:sz w:val="24"/>
          <w:szCs w:val="24"/>
          <w:rtl/>
          <w14:ligatures w14:val="none"/>
        </w:rPr>
        <w:t xml:space="preserve"> </w:t>
      </w:r>
      <w:r>
        <w:rPr>
          <w:rFonts w:ascii="David" w:eastAsiaTheme="minorHAnsi" w:hAnsi="David" w:cs="David"/>
          <w:spacing w:val="0"/>
          <w:kern w:val="0"/>
          <w:sz w:val="24"/>
          <w:szCs w:val="24"/>
          <w:rtl/>
          <w14:ligatures w14:val="none"/>
        </w:rPr>
        <w:t xml:space="preserve">(כך במקור) </w:t>
      </w:r>
      <w:r>
        <w:rPr>
          <w:rFonts w:ascii="David" w:eastAsiaTheme="minorHAnsi" w:hAnsi="David" w:cs="David"/>
          <w:b/>
          <w:bCs/>
          <w:spacing w:val="0"/>
          <w:kern w:val="0"/>
          <w:sz w:val="24"/>
          <w:szCs w:val="24"/>
          <w:rtl/>
          <w14:ligatures w14:val="none"/>
        </w:rPr>
        <w:t xml:space="preserve"> של </w:t>
      </w:r>
      <w:proofErr w:type="spellStart"/>
      <w:r>
        <w:rPr>
          <w:rFonts w:ascii="David" w:eastAsiaTheme="minorHAnsi" w:hAnsi="David" w:cs="David"/>
          <w:b/>
          <w:bCs/>
          <w:spacing w:val="0"/>
          <w:kern w:val="0"/>
          <w:sz w:val="24"/>
          <w:szCs w:val="24"/>
          <w:rtl/>
          <w14:ligatures w14:val="none"/>
        </w:rPr>
        <w:t>רו</w:t>
      </w:r>
      <w:proofErr w:type="spellEnd"/>
      <w:r>
        <w:rPr>
          <w:rFonts w:ascii="David" w:eastAsiaTheme="minorHAnsi" w:hAnsi="David" w:cs="David"/>
          <w:b/>
          <w:bCs/>
          <w:spacing w:val="0"/>
          <w:kern w:val="0"/>
          <w:sz w:val="24"/>
          <w:szCs w:val="24"/>
          <w:rtl/>
          <w14:ligatures w14:val="none"/>
        </w:rPr>
        <w:t>., דיון שהפך לא רלוונטי, וממילא שזה המצב גם ביחס לכל דיון אחר"</w:t>
      </w:r>
      <w:r>
        <w:rPr>
          <w:rFonts w:ascii="David" w:hAnsi="David" w:cs="David"/>
          <w:sz w:val="24"/>
          <w:szCs w:val="24"/>
          <w:rtl/>
        </w:rPr>
        <w:t>.</w:t>
      </w:r>
    </w:p>
    <w:p w:rsidR="00C46876" w:rsidRDefault="00C46876" w:rsidP="00C46876">
      <w:pPr>
        <w:pStyle w:val="Ruller4"/>
        <w:tabs>
          <w:tab w:val="left" w:pos="720"/>
        </w:tabs>
        <w:ind w:left="714" w:hanging="630"/>
        <w:rPr>
          <w:rFonts w:ascii="David" w:eastAsiaTheme="minorHAnsi" w:hAnsi="David" w:cs="David"/>
          <w:spacing w:val="0"/>
          <w:kern w:val="0"/>
          <w:sz w:val="24"/>
          <w:szCs w:val="24"/>
          <w:rtl/>
          <w14:ligatures w14:val="none"/>
        </w:rPr>
      </w:pPr>
    </w:p>
    <w:p w:rsidR="00C46876" w:rsidRDefault="00C46876" w:rsidP="00C46876">
      <w:pPr>
        <w:pStyle w:val="Ruller4"/>
        <w:tabs>
          <w:tab w:val="left" w:pos="720"/>
        </w:tabs>
        <w:ind w:left="714" w:hanging="630"/>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t>15.</w:t>
      </w:r>
      <w:r>
        <w:rPr>
          <w:rFonts w:ascii="David" w:eastAsiaTheme="minorHAnsi" w:hAnsi="David" w:cs="David"/>
          <w:spacing w:val="0"/>
          <w:kern w:val="0"/>
          <w:sz w:val="24"/>
          <w:szCs w:val="24"/>
          <w:rtl/>
          <w14:ligatures w14:val="none"/>
        </w:rPr>
        <w:tab/>
        <w:t xml:space="preserve">זה המקום לפנות להחלטתו של  כבוד השופט יעקב פרסקי מיום 13/3/2024. </w:t>
      </w:r>
    </w:p>
    <w:p w:rsidR="00C46876" w:rsidRDefault="00C46876" w:rsidP="00C46876">
      <w:pPr>
        <w:spacing w:line="360" w:lineRule="auto"/>
        <w:ind w:left="714"/>
        <w:jc w:val="both"/>
        <w:rPr>
          <w:rFonts w:ascii="David" w:eastAsiaTheme="minorHAnsi" w:hAnsi="David"/>
          <w:sz w:val="22"/>
          <w:szCs w:val="22"/>
          <w:rtl/>
        </w:rPr>
      </w:pPr>
    </w:p>
    <w:p w:rsidR="00C46876" w:rsidRDefault="00C46876" w:rsidP="00C46876">
      <w:pPr>
        <w:spacing w:line="360" w:lineRule="auto"/>
        <w:ind w:left="714"/>
        <w:jc w:val="both"/>
        <w:rPr>
          <w:rFonts w:ascii="David" w:hAnsi="David"/>
          <w:rtl/>
        </w:rPr>
      </w:pPr>
      <w:r>
        <w:rPr>
          <w:rFonts w:ascii="David" w:hAnsi="David"/>
          <w:rtl/>
        </w:rPr>
        <w:t>ביחס למהות המחלוקת קבע כבוד השופט  פרסקי:</w:t>
      </w:r>
    </w:p>
    <w:p w:rsidR="00C46876" w:rsidRDefault="00C46876" w:rsidP="00C46876">
      <w:pPr>
        <w:spacing w:line="360" w:lineRule="auto"/>
        <w:ind w:left="714"/>
        <w:jc w:val="both"/>
        <w:rPr>
          <w:rFonts w:ascii="David" w:hAnsi="David"/>
          <w:rtl/>
        </w:rPr>
      </w:pPr>
    </w:p>
    <w:p w:rsidR="00C46876" w:rsidRDefault="00C46876" w:rsidP="00C46876">
      <w:pPr>
        <w:spacing w:line="360" w:lineRule="auto"/>
        <w:ind w:left="714"/>
        <w:jc w:val="both"/>
        <w:rPr>
          <w:rFonts w:ascii="David" w:hAnsi="David"/>
          <w:b/>
          <w:bCs/>
          <w:rtl/>
        </w:rPr>
      </w:pPr>
      <w:r>
        <w:rPr>
          <w:rFonts w:ascii="David" w:hAnsi="David"/>
          <w:rtl/>
        </w:rPr>
        <w:t>"</w:t>
      </w:r>
      <w:r>
        <w:rPr>
          <w:rFonts w:ascii="David" w:hAnsi="David"/>
          <w:b/>
          <w:bCs/>
          <w:rtl/>
        </w:rPr>
        <w:t>הערעור הינו בעניין החלטתו של בית משפט לענייני משפחה בקריית גת (כבוד השופט, סגן הנשיא מרדכי לוי) מיום 18.5.23. במסגרת הדיון היום התקבלה הסכמת הצדדים לקבלת הערעור במובן זה שייערך עיון חוזר בנוגע לשכרו של בעל התפקיד (האפוטרופוס לרכוש העסקי).</w:t>
      </w:r>
      <w:r>
        <w:rPr>
          <w:rFonts w:ascii="David" w:hAnsi="David"/>
          <w:rtl/>
        </w:rPr>
        <w:t>"</w:t>
      </w:r>
      <w:r>
        <w:rPr>
          <w:rFonts w:ascii="David" w:hAnsi="David"/>
          <w:b/>
          <w:bCs/>
          <w:rtl/>
        </w:rPr>
        <w:t xml:space="preserve"> </w:t>
      </w:r>
    </w:p>
    <w:p w:rsidR="00C46876" w:rsidRDefault="00C46876" w:rsidP="00C46876">
      <w:pPr>
        <w:spacing w:line="360" w:lineRule="auto"/>
        <w:ind w:left="714"/>
        <w:jc w:val="both"/>
        <w:rPr>
          <w:rFonts w:ascii="David" w:hAnsi="David"/>
          <w:b/>
          <w:bCs/>
          <w:rtl/>
        </w:rPr>
      </w:pPr>
    </w:p>
    <w:p w:rsidR="00C46876" w:rsidRDefault="00C46876" w:rsidP="00C46876">
      <w:pPr>
        <w:spacing w:line="360" w:lineRule="auto"/>
        <w:jc w:val="both"/>
        <w:rPr>
          <w:rFonts w:ascii="David" w:hAnsi="David"/>
        </w:rPr>
      </w:pPr>
      <w:r>
        <w:rPr>
          <w:rFonts w:ascii="David" w:hAnsi="David"/>
          <w:rtl/>
        </w:rPr>
        <w:tab/>
        <w:t>בהחלטתו ציין בית המשפט המחוזי ש</w:t>
      </w:r>
    </w:p>
    <w:p w:rsidR="00C46876" w:rsidRDefault="00C46876" w:rsidP="00C46876">
      <w:pPr>
        <w:spacing w:line="360" w:lineRule="auto"/>
        <w:jc w:val="both"/>
        <w:rPr>
          <w:rFonts w:ascii="David" w:hAnsi="David"/>
          <w:rtl/>
        </w:rPr>
      </w:pPr>
    </w:p>
    <w:p w:rsidR="00C46876" w:rsidRDefault="00C46876" w:rsidP="00C46876">
      <w:pPr>
        <w:spacing w:line="360" w:lineRule="auto"/>
        <w:ind w:left="714"/>
        <w:jc w:val="both"/>
        <w:rPr>
          <w:rFonts w:ascii="David" w:hAnsi="David"/>
          <w:b/>
          <w:bCs/>
          <w:rtl/>
        </w:rPr>
      </w:pPr>
      <w:r>
        <w:rPr>
          <w:rFonts w:ascii="David" w:hAnsi="David"/>
          <w:rtl/>
        </w:rPr>
        <w:t>"</w:t>
      </w:r>
      <w:r>
        <w:rPr>
          <w:rFonts w:ascii="David" w:hAnsi="David"/>
          <w:b/>
          <w:bCs/>
          <w:rtl/>
        </w:rPr>
        <w:t xml:space="preserve">הערעור עצמו כלל טענות נוספות, אולם אלו ככל שלא התייתרו, לגביהן, שמורות לצדדים כל הטענות זה כנגד זה . התיק בבית המשפט לענייני משפחה נפתח כבקשה הנוגעת לשכרו של בעל התפקיד ולהוראה על תוקפם של תנאי שכרו. </w:t>
      </w:r>
      <w:r>
        <w:rPr>
          <w:rFonts w:ascii="David" w:hAnsi="David"/>
          <w:rtl/>
        </w:rPr>
        <w:t>"</w:t>
      </w:r>
    </w:p>
    <w:p w:rsidR="00C46876" w:rsidRDefault="00C46876" w:rsidP="00C46876">
      <w:pPr>
        <w:spacing w:line="360" w:lineRule="auto"/>
        <w:ind w:left="714"/>
        <w:jc w:val="both"/>
        <w:rPr>
          <w:rFonts w:ascii="David" w:hAnsi="David"/>
          <w:b/>
          <w:bCs/>
          <w:rtl/>
        </w:rPr>
      </w:pPr>
    </w:p>
    <w:p w:rsidR="00C46876" w:rsidRDefault="00C46876" w:rsidP="00C46876">
      <w:pPr>
        <w:spacing w:line="360" w:lineRule="auto"/>
        <w:ind w:left="714"/>
        <w:jc w:val="both"/>
        <w:rPr>
          <w:rFonts w:ascii="David" w:hAnsi="David"/>
          <w:rtl/>
        </w:rPr>
      </w:pPr>
      <w:r>
        <w:rPr>
          <w:rFonts w:ascii="David" w:hAnsi="David"/>
          <w:rtl/>
        </w:rPr>
        <w:t>בנתחו את הרקע העובדתי והמתווה הנכון בעיניו  קבע בהחלטתו:</w:t>
      </w:r>
    </w:p>
    <w:p w:rsidR="00C46876" w:rsidRDefault="00C46876" w:rsidP="00C46876">
      <w:pPr>
        <w:spacing w:line="360" w:lineRule="auto"/>
        <w:ind w:left="714"/>
        <w:jc w:val="both"/>
        <w:rPr>
          <w:rFonts w:ascii="David" w:hAnsi="David"/>
          <w:rtl/>
        </w:rPr>
      </w:pPr>
    </w:p>
    <w:p w:rsidR="00C46876" w:rsidRDefault="00C46876" w:rsidP="00C46876">
      <w:pPr>
        <w:spacing w:line="360" w:lineRule="auto"/>
        <w:ind w:left="714"/>
        <w:jc w:val="both"/>
        <w:rPr>
          <w:rFonts w:ascii="David" w:hAnsi="David"/>
          <w:b/>
          <w:bCs/>
          <w:rtl/>
        </w:rPr>
      </w:pPr>
      <w:r>
        <w:rPr>
          <w:rFonts w:ascii="David" w:hAnsi="David"/>
          <w:b/>
          <w:bCs/>
          <w:rtl/>
        </w:rPr>
        <w:t xml:space="preserve">"במקור, בהחלטה שניתנה ביום 23.8.21 (כבוד השופטת פאני גילת כהן) אושרו דרישות השכר של בעל התפקיד, וזאת בתחילת הדרך. </w:t>
      </w:r>
    </w:p>
    <w:p w:rsidR="00C46876" w:rsidRDefault="00C46876" w:rsidP="00C46876">
      <w:pPr>
        <w:spacing w:line="360" w:lineRule="auto"/>
        <w:ind w:left="714"/>
        <w:jc w:val="both"/>
        <w:rPr>
          <w:rFonts w:ascii="David" w:hAnsi="David"/>
          <w:b/>
          <w:bCs/>
          <w:rtl/>
        </w:rPr>
      </w:pPr>
    </w:p>
    <w:p w:rsidR="00C46876" w:rsidRDefault="00C46876" w:rsidP="00C46876">
      <w:pPr>
        <w:spacing w:line="360" w:lineRule="auto"/>
        <w:ind w:left="714"/>
        <w:jc w:val="both"/>
        <w:rPr>
          <w:rFonts w:ascii="David" w:hAnsi="David"/>
          <w:b/>
          <w:bCs/>
          <w:rtl/>
        </w:rPr>
      </w:pPr>
      <w:r>
        <w:rPr>
          <w:rFonts w:ascii="David" w:hAnsi="David"/>
          <w:b/>
          <w:bCs/>
          <w:rtl/>
        </w:rPr>
        <w:t>חלפו מאז כשנתיים וחצי ושיתפתי את הצדדים בסברתי ולפיה ישנו הבדל בין קביעת השכר והפיקוח על השכר בתחילת הדרך, ובין המשך קביעת תנאי השכר בחלוף השנים.</w:t>
      </w:r>
    </w:p>
    <w:p w:rsidR="00C46876" w:rsidRDefault="00C46876" w:rsidP="00C46876">
      <w:pPr>
        <w:spacing w:line="360" w:lineRule="auto"/>
        <w:ind w:left="714"/>
        <w:jc w:val="both"/>
        <w:rPr>
          <w:rFonts w:ascii="David" w:hAnsi="David"/>
          <w:b/>
          <w:bCs/>
          <w:rtl/>
        </w:rPr>
      </w:pPr>
    </w:p>
    <w:p w:rsidR="00C46876" w:rsidRDefault="00C46876" w:rsidP="00C46876">
      <w:pPr>
        <w:spacing w:line="360" w:lineRule="auto"/>
        <w:ind w:left="714"/>
        <w:jc w:val="both"/>
        <w:rPr>
          <w:rFonts w:ascii="David" w:hAnsi="David"/>
          <w:b/>
          <w:bCs/>
          <w:rtl/>
        </w:rPr>
      </w:pPr>
      <w:r>
        <w:rPr>
          <w:rFonts w:ascii="David" w:hAnsi="David"/>
          <w:b/>
          <w:bCs/>
          <w:rtl/>
        </w:rPr>
        <w:t xml:space="preserve">כאמור, ההחלטה הראשונה בעניין השכר ניתנה ביום 23.8.21. הבקשה נשוא התיק קמא הוגשה ביום 30.9.22. החלטת בית המשפט ניתנה ביום 18.5.23. </w:t>
      </w:r>
    </w:p>
    <w:p w:rsidR="00C46876" w:rsidRDefault="00C46876" w:rsidP="00C46876">
      <w:pPr>
        <w:spacing w:line="360" w:lineRule="auto"/>
        <w:ind w:left="714"/>
        <w:jc w:val="both"/>
        <w:rPr>
          <w:rFonts w:ascii="David" w:hAnsi="David"/>
          <w:b/>
          <w:bCs/>
          <w:rtl/>
        </w:rPr>
      </w:pPr>
    </w:p>
    <w:p w:rsidR="00C46876" w:rsidRDefault="00C46876" w:rsidP="00C46876">
      <w:pPr>
        <w:spacing w:line="360" w:lineRule="auto"/>
        <w:ind w:left="714" w:firstLine="79"/>
        <w:jc w:val="both"/>
        <w:rPr>
          <w:rFonts w:ascii="David" w:hAnsi="David"/>
          <w:rtl/>
        </w:rPr>
      </w:pPr>
      <w:r>
        <w:rPr>
          <w:rFonts w:ascii="David" w:hAnsi="David"/>
          <w:b/>
          <w:bCs/>
          <w:rtl/>
        </w:rPr>
        <w:t xml:space="preserve">לכאורה, אישור השכר כפי שניתן בידי בית המשפט קמא, יכול להיות לגבי התקופה מיום 23.8.21 ועד ליום הגשת הבקשה, היינו עד ליום 30.9.22, אם כי ההחלטה קמא אוחזת בלשון: "אני מאשר הארכת התשלום באותה מתכונת", ולטעמי בקשה זו הינה חסרה ולא מפורטת והיה מקום להתייחס לתקופות שונות, היינו להפריד בין בקשה לאישור שכר עד למועד הגשת הבקשה, ובין בקשות לעתיד, שכן ובצדק, ניתן לפרש את ההחלטה כאישור אוטומטי של שכר עד להחלטה אחרת. </w:t>
      </w:r>
      <w:r>
        <w:rPr>
          <w:rFonts w:ascii="David" w:hAnsi="David"/>
          <w:rtl/>
        </w:rPr>
        <w:t>[...]</w:t>
      </w:r>
    </w:p>
    <w:p w:rsidR="00C46876" w:rsidRDefault="00C46876" w:rsidP="00C46876">
      <w:pPr>
        <w:spacing w:line="360" w:lineRule="auto"/>
        <w:ind w:left="714" w:firstLine="79"/>
        <w:jc w:val="both"/>
        <w:rPr>
          <w:rFonts w:ascii="David" w:hAnsi="David"/>
          <w:rtl/>
        </w:rPr>
      </w:pPr>
    </w:p>
    <w:p w:rsidR="00C46876" w:rsidRDefault="00C46876" w:rsidP="00C46876">
      <w:pPr>
        <w:spacing w:line="360" w:lineRule="auto"/>
        <w:ind w:left="714"/>
        <w:jc w:val="both"/>
        <w:rPr>
          <w:rFonts w:ascii="David" w:hAnsi="David"/>
          <w:b/>
          <w:bCs/>
          <w:rtl/>
        </w:rPr>
      </w:pPr>
      <w:r>
        <w:rPr>
          <w:rFonts w:ascii="David" w:hAnsi="David"/>
          <w:rtl/>
        </w:rPr>
        <w:t>בית המשפט המחוזי סבר שיש מקום לקבוע מנגנון לקביעה או לאישור שכרו של בעל תפקיד. בהעדר מחלוקת מטעם הצדדים קבע ש</w:t>
      </w:r>
      <w:r>
        <w:rPr>
          <w:rFonts w:ascii="David" w:hAnsi="David"/>
          <w:b/>
          <w:bCs/>
          <w:rtl/>
        </w:rPr>
        <w:t xml:space="preserve"> "...ניתן יהיה תוך מתן קווים מנחים לבית המשפט קמא, להחזיר את המשך הטיפול אליו, לפי שיקול דעתו בנוגע לבקשות שכר החל מזו נשוא התיק קמא, וכן בקשות לעתיד.  </w:t>
      </w:r>
    </w:p>
    <w:p w:rsidR="00C46876" w:rsidRDefault="00C46876" w:rsidP="00C46876">
      <w:pPr>
        <w:spacing w:line="360" w:lineRule="auto"/>
        <w:ind w:left="714"/>
        <w:jc w:val="both"/>
        <w:rPr>
          <w:rFonts w:ascii="David" w:hAnsi="David"/>
          <w:b/>
          <w:bCs/>
          <w:rtl/>
        </w:rPr>
      </w:pPr>
    </w:p>
    <w:p w:rsidR="00C46876" w:rsidRDefault="00C46876" w:rsidP="00C46876">
      <w:pPr>
        <w:spacing w:line="360" w:lineRule="auto"/>
        <w:ind w:left="714"/>
        <w:jc w:val="both"/>
        <w:rPr>
          <w:rFonts w:ascii="David" w:hAnsi="David"/>
          <w:b/>
          <w:bCs/>
          <w:rtl/>
        </w:rPr>
      </w:pPr>
      <w:r>
        <w:rPr>
          <w:rFonts w:ascii="David" w:hAnsi="David"/>
          <w:b/>
          <w:bCs/>
          <w:rtl/>
        </w:rPr>
        <w:t>בהתייחסו לחשש העולה מצירוף מי שאינו מהמשיבים על פי הקבוע בתקנה 3 לתקנות הכשרות המשפטית והאפוטרופסות (כללים בדברים קביעת שכר לאפוטרופסים) תשמ"ט – 1988, שכן הצורך בפירוט נוסף עלול לפגוע בעבודה השוטפת של החברה, וזאת ככל שבית המשפט יורה על צירוף משיבים נוספים ומעבר לאפוטרופוס הכללי.</w:t>
      </w:r>
    </w:p>
    <w:p w:rsidR="00C46876" w:rsidRDefault="00C46876" w:rsidP="00C46876">
      <w:pPr>
        <w:spacing w:line="360" w:lineRule="auto"/>
        <w:ind w:left="714"/>
        <w:jc w:val="both"/>
        <w:rPr>
          <w:rFonts w:ascii="David" w:hAnsi="David"/>
          <w:b/>
          <w:bCs/>
          <w:rtl/>
        </w:rPr>
      </w:pPr>
    </w:p>
    <w:p w:rsidR="00C46876" w:rsidRDefault="00C46876" w:rsidP="00C46876">
      <w:pPr>
        <w:spacing w:line="360" w:lineRule="auto"/>
        <w:ind w:left="714"/>
        <w:jc w:val="both"/>
        <w:rPr>
          <w:rFonts w:ascii="David" w:hAnsi="David"/>
          <w:rtl/>
        </w:rPr>
      </w:pPr>
      <w:r>
        <w:rPr>
          <w:rFonts w:ascii="David" w:hAnsi="David"/>
          <w:b/>
          <w:bCs/>
          <w:rtl/>
        </w:rPr>
        <w:t xml:space="preserve">הפתרון לכאורה הינו קביעה ולפיה בקשה שכזו תכלול חלקים או נספח חסוי אשר יוצגו רק לבית המשפט ולאפוטרופוס הכללי, ובדרך זו ניתן יהיה להפיג את החשש שהועלה. </w:t>
      </w:r>
      <w:r>
        <w:rPr>
          <w:rFonts w:ascii="David" w:hAnsi="David"/>
          <w:rtl/>
        </w:rPr>
        <w:t>[...]</w:t>
      </w:r>
    </w:p>
    <w:p w:rsidR="00C46876" w:rsidRDefault="00C46876" w:rsidP="00C46876">
      <w:pPr>
        <w:spacing w:line="360" w:lineRule="auto"/>
        <w:ind w:left="714"/>
        <w:jc w:val="both"/>
        <w:rPr>
          <w:rFonts w:ascii="David" w:hAnsi="David"/>
          <w:rtl/>
        </w:rPr>
      </w:pPr>
    </w:p>
    <w:p w:rsidR="00C46876" w:rsidRDefault="00C46876" w:rsidP="00C46876">
      <w:pPr>
        <w:spacing w:line="360" w:lineRule="auto"/>
        <w:ind w:left="714"/>
        <w:jc w:val="both"/>
        <w:rPr>
          <w:rFonts w:ascii="David" w:hAnsi="David"/>
          <w:b/>
          <w:bCs/>
          <w:rtl/>
        </w:rPr>
      </w:pPr>
      <w:r>
        <w:rPr>
          <w:rFonts w:ascii="David" w:hAnsi="David"/>
          <w:b/>
          <w:bCs/>
          <w:rtl/>
        </w:rPr>
        <w:t xml:space="preserve">באותו אופן ניתן לקבוע כי גם לגבי העבר, היינו אחורה בזמן מאז ההחלטה שניתנה בתחילת הדרך אודות אישור השכר ועד להיום, ולהסרת ספק, לגבי השאלה האם אישור בית המשפט לשכר כפי שניתן הינו עד למועד הגשת התיק קמא, או ללא מועד, תוגש בקשה מפורטת שהצדדים לה יהיו האפוטרופוס הכללי כמשיב עיקרי והמשיבים האחרים כמשיבים נוספים, כאשר הבקשה תכלול נספח חסוי כאמור. </w:t>
      </w:r>
    </w:p>
    <w:p w:rsidR="00C46876" w:rsidRDefault="00C46876" w:rsidP="00C46876">
      <w:pPr>
        <w:spacing w:line="360" w:lineRule="auto"/>
        <w:ind w:left="714"/>
        <w:jc w:val="both"/>
        <w:rPr>
          <w:rFonts w:ascii="David" w:hAnsi="David"/>
          <w:b/>
          <w:bCs/>
          <w:rtl/>
        </w:rPr>
      </w:pPr>
    </w:p>
    <w:p w:rsidR="00C46876" w:rsidRDefault="00C46876" w:rsidP="00C46876">
      <w:pPr>
        <w:spacing w:line="360" w:lineRule="auto"/>
        <w:ind w:left="714"/>
        <w:jc w:val="both"/>
        <w:rPr>
          <w:rFonts w:ascii="David" w:hAnsi="David"/>
          <w:b/>
          <w:bCs/>
          <w:rtl/>
        </w:rPr>
      </w:pPr>
      <w:r>
        <w:rPr>
          <w:rFonts w:ascii="David" w:hAnsi="David"/>
          <w:b/>
          <w:bCs/>
          <w:rtl/>
        </w:rPr>
        <w:t xml:space="preserve">בכל הנוגע לאפוטרופוס הכללי סברתי, כפי שעלה בהערות בית המשפט בפרוטוקול המוקלט, כי ענייננו במקרה שדורש מעורבות גדולה יותר, הגם שלא נקבעו בדיון היום </w:t>
      </w:r>
      <w:r>
        <w:rPr>
          <w:rFonts w:ascii="David" w:hAnsi="David"/>
          <w:b/>
          <w:bCs/>
          <w:rtl/>
        </w:rPr>
        <w:lastRenderedPageBreak/>
        <w:t>הוראות מפורטות והדברים ייוותרו לעתיד, היינו אופן מעורבות האפוטרופוס הכללי, והדברים הינם כמובן לשיקול דעת בית משפט קמא. [...] "</w:t>
      </w:r>
    </w:p>
    <w:p w:rsidR="00C46876" w:rsidRDefault="00C46876" w:rsidP="00C46876">
      <w:pPr>
        <w:spacing w:line="360" w:lineRule="auto"/>
        <w:ind w:left="714"/>
        <w:jc w:val="both"/>
        <w:rPr>
          <w:rFonts w:ascii="David" w:hAnsi="David"/>
          <w:b/>
          <w:bCs/>
          <w:rtl/>
        </w:rPr>
      </w:pPr>
    </w:p>
    <w:p w:rsidR="00C46876" w:rsidRDefault="00C46876" w:rsidP="00C46876">
      <w:pPr>
        <w:spacing w:line="360" w:lineRule="auto"/>
        <w:ind w:left="714"/>
        <w:jc w:val="both"/>
        <w:rPr>
          <w:rFonts w:ascii="David" w:hAnsi="David"/>
          <w:rtl/>
        </w:rPr>
      </w:pPr>
      <w:r>
        <w:rPr>
          <w:rFonts w:ascii="David" w:hAnsi="David"/>
          <w:rtl/>
        </w:rPr>
        <w:t xml:space="preserve">ההחלטה מניחה את המצופה מבית משפט זה: </w:t>
      </w:r>
    </w:p>
    <w:p w:rsidR="00C46876" w:rsidRDefault="00C46876" w:rsidP="00C46876">
      <w:pPr>
        <w:spacing w:line="360" w:lineRule="auto"/>
        <w:ind w:left="714"/>
        <w:jc w:val="both"/>
        <w:rPr>
          <w:rFonts w:ascii="David" w:hAnsi="David"/>
          <w:rtl/>
        </w:rPr>
      </w:pPr>
    </w:p>
    <w:p w:rsidR="00C46876" w:rsidRDefault="00C46876" w:rsidP="00C46876">
      <w:pPr>
        <w:spacing w:line="360" w:lineRule="auto"/>
        <w:ind w:left="714"/>
        <w:jc w:val="both"/>
        <w:rPr>
          <w:rFonts w:ascii="David" w:hAnsi="David"/>
          <w:b/>
          <w:bCs/>
        </w:rPr>
      </w:pPr>
      <w:r>
        <w:rPr>
          <w:rFonts w:ascii="David" w:hAnsi="David"/>
          <w:rtl/>
        </w:rPr>
        <w:t>"</w:t>
      </w:r>
      <w:r>
        <w:rPr>
          <w:rFonts w:ascii="David" w:hAnsi="David"/>
          <w:b/>
          <w:bCs/>
          <w:rtl/>
        </w:rPr>
        <w:t xml:space="preserve">ובחזרה לענייננו, יש לציין כי עלתה טענה ולפיה לא נכון הוא כי מעבר לאפוטרופוס הכללי, יהיו לבקשת שכר משיבים נוספים. אעיר כי, בית משפט קמא צירף בפועל משיבים נוספים כפי שאף היו צדדים לערעור זה, וכן אעיר כי, המלצתי בעניין הקווים המנחים, כי בקשה שתוגש תכלול חלק חסוי, וזאת כמענה לחשש כי ייגרם נזק בחשיפת מלוא הדברים ומלוא הנתונים לגורמים הנוספים. </w:t>
      </w:r>
    </w:p>
    <w:p w:rsidR="00C46876" w:rsidRDefault="00C46876" w:rsidP="00C46876">
      <w:pPr>
        <w:spacing w:line="360" w:lineRule="auto"/>
        <w:ind w:left="714"/>
        <w:jc w:val="both"/>
        <w:rPr>
          <w:rFonts w:ascii="David" w:hAnsi="David"/>
          <w:b/>
          <w:bCs/>
          <w:rtl/>
        </w:rPr>
      </w:pPr>
    </w:p>
    <w:p w:rsidR="00C46876" w:rsidRDefault="00C46876" w:rsidP="00C46876">
      <w:pPr>
        <w:spacing w:line="360" w:lineRule="auto"/>
        <w:ind w:left="714"/>
        <w:jc w:val="both"/>
        <w:rPr>
          <w:rFonts w:ascii="David" w:hAnsi="David"/>
          <w:rtl/>
        </w:rPr>
      </w:pPr>
      <w:r>
        <w:rPr>
          <w:rFonts w:ascii="David" w:hAnsi="David"/>
          <w:b/>
          <w:bCs/>
          <w:rtl/>
        </w:rPr>
        <w:t>לפיכך, מתקבל הערעור במובן זה שבית המשפט קמא מתבקש לעיין שוב בהחלטתו אודות אישור השכר, כמו גם לתת הוראות לגבי בקשות לעתיד (כאמור המלצתי הייתה שתהיה הוראה על הגשת בקשה אחת לרבעון). לכאורה נכון יהיה כי בית המשפט קמא יבקש את עמדות הצדדים בטרם החלטה סופית וכאמור יפעל בעניין זה לפי שיקול דעתו</w:t>
      </w:r>
      <w:r>
        <w:rPr>
          <w:rFonts w:ascii="David" w:hAnsi="David"/>
          <w:rtl/>
        </w:rPr>
        <w:t>."</w:t>
      </w:r>
    </w:p>
    <w:p w:rsidR="00C46876" w:rsidRDefault="00C46876" w:rsidP="00C46876">
      <w:pPr>
        <w:pStyle w:val="Ruller4"/>
        <w:tabs>
          <w:tab w:val="left" w:pos="720"/>
        </w:tabs>
        <w:ind w:left="714" w:hanging="630"/>
        <w:rPr>
          <w:rFonts w:ascii="David" w:eastAsiaTheme="minorHAnsi" w:hAnsi="David" w:cs="David"/>
          <w:spacing w:val="0"/>
          <w:kern w:val="0"/>
          <w:sz w:val="24"/>
          <w:szCs w:val="24"/>
          <w:rtl/>
          <w14:ligatures w14:val="none"/>
        </w:rPr>
      </w:pPr>
    </w:p>
    <w:p w:rsidR="00C46876" w:rsidRDefault="00C46876" w:rsidP="00C46876">
      <w:pPr>
        <w:spacing w:line="360" w:lineRule="auto"/>
        <w:ind w:left="720" w:hanging="720"/>
        <w:jc w:val="both"/>
        <w:rPr>
          <w:rFonts w:ascii="David" w:hAnsi="David"/>
          <w:rtl/>
        </w:rPr>
      </w:pPr>
      <w:r>
        <w:rPr>
          <w:rFonts w:ascii="David" w:hAnsi="David"/>
          <w:rtl/>
        </w:rPr>
        <w:t>16.</w:t>
      </w:r>
      <w:r>
        <w:rPr>
          <w:rFonts w:ascii="David" w:hAnsi="David"/>
          <w:rtl/>
        </w:rPr>
        <w:tab/>
        <w:t>א.</w:t>
      </w:r>
      <w:r>
        <w:rPr>
          <w:rFonts w:ascii="David" w:hAnsi="David"/>
          <w:rtl/>
        </w:rPr>
        <w:tab/>
        <w:t xml:space="preserve">על אתר יאמר שהחלטתו של כבוד השופט פרסקי ניתנה טרם התפטרותו של מר </w:t>
      </w:r>
    </w:p>
    <w:p w:rsidR="00C46876" w:rsidRDefault="00C46876" w:rsidP="00C46876">
      <w:pPr>
        <w:spacing w:line="360" w:lineRule="auto"/>
        <w:ind w:left="1440"/>
        <w:jc w:val="both"/>
        <w:rPr>
          <w:rFonts w:ascii="David" w:hAnsi="David"/>
          <w:rtl/>
        </w:rPr>
      </w:pPr>
      <w:r>
        <w:rPr>
          <w:rFonts w:ascii="David" w:hAnsi="David"/>
          <w:rtl/>
        </w:rPr>
        <w:t>רו.. משכך, יש ממש בטענתה של הגב' פ. שהחלטתו של כבוד השופט ממן מיום 8/12/2022 לצירוף הבן נ. פ. "ויתר הצדדים" ובמשתמע, הבנים א. ורא.  אינה יכולה להתקיים גם להבא במינוי של אפוטרופוס חלופי לרכושו העסקי של מר פ.. הדבר מתבקש מהקבוע בסעיף 5 להחלטה וכמובהר לעיל וכן מהחלטתו של כבוד השופט פרסקי (למשל עמ' 3 ש' 31 עד עמ' 4 ש' 2 וכן עמ' 4 ש' 33-30).</w:t>
      </w:r>
    </w:p>
    <w:p w:rsidR="00C46876" w:rsidRDefault="00C46876" w:rsidP="00C46876">
      <w:pPr>
        <w:spacing w:line="360" w:lineRule="auto"/>
        <w:ind w:left="1440"/>
        <w:jc w:val="both"/>
        <w:rPr>
          <w:rFonts w:ascii="David" w:hAnsi="David"/>
          <w:rtl/>
        </w:rPr>
      </w:pPr>
    </w:p>
    <w:p w:rsidR="00C46876" w:rsidRDefault="00C46876" w:rsidP="00C46876">
      <w:pPr>
        <w:spacing w:line="360" w:lineRule="auto"/>
        <w:ind w:left="1440" w:hanging="720"/>
        <w:jc w:val="both"/>
        <w:rPr>
          <w:rFonts w:ascii="David" w:hAnsi="David"/>
          <w:rtl/>
        </w:rPr>
      </w:pPr>
      <w:r>
        <w:rPr>
          <w:rFonts w:ascii="David" w:hAnsi="David"/>
          <w:rtl/>
        </w:rPr>
        <w:t>ב.</w:t>
      </w:r>
      <w:r>
        <w:rPr>
          <w:rFonts w:ascii="David" w:hAnsi="David"/>
          <w:rtl/>
        </w:rPr>
        <w:tab/>
        <w:t xml:space="preserve">כך, הישארותו של מר רו. בתפקיד לתקופת ביניים, לצורך "העברת המקל" כהגדרתו – העברת הטיפול בחברות בצורה מסודרת היא לתקופה מוגבלת יחסית. בהחלטת המינוי של מר רו. ואישור שכרו ע"י כבוד השופטת פאני גילת (בהחלטה מיום 23/8/2021) לא נקבע מנגנון כלשהו לאשרור של שכרו או שינויו. מי שיזם את המהלך הוא מר רו. עצמו בתובענה ביום 28/9/2022. משכך עולה שמר רו. עצמו סבר לעת ההגשה שיש מקום לדון בשכרו. דברים אלו עולים בקנה אחד עם  החלטת בית המשפט המחוזי. </w:t>
      </w:r>
    </w:p>
    <w:p w:rsidR="00C46876" w:rsidRDefault="00C46876" w:rsidP="00C46876">
      <w:pPr>
        <w:spacing w:line="360" w:lineRule="auto"/>
        <w:ind w:left="1440" w:hanging="720"/>
        <w:jc w:val="both"/>
        <w:rPr>
          <w:rFonts w:ascii="David" w:hAnsi="David"/>
          <w:rtl/>
        </w:rPr>
      </w:pPr>
    </w:p>
    <w:p w:rsidR="00C46876" w:rsidRDefault="00C46876" w:rsidP="00C46876">
      <w:pPr>
        <w:spacing w:line="360" w:lineRule="auto"/>
        <w:ind w:left="1440" w:hanging="720"/>
        <w:jc w:val="both"/>
        <w:rPr>
          <w:rFonts w:ascii="David" w:hAnsi="David"/>
          <w:rtl/>
        </w:rPr>
      </w:pPr>
      <w:r>
        <w:rPr>
          <w:rFonts w:ascii="David" w:hAnsi="David"/>
          <w:rtl/>
        </w:rPr>
        <w:t>ג.</w:t>
      </w:r>
      <w:r>
        <w:rPr>
          <w:rFonts w:ascii="David" w:hAnsi="David"/>
          <w:rtl/>
        </w:rPr>
        <w:tab/>
        <w:t>מר רו. יגיש בקשה לאישור שכרו החל מיום 30/9/2022 ועד לעת הזו. הבקשה תוגש לבית המשפט כשהמשיבים הם  על פי החלטת כבוד השופט ממן.  ברם, על פי החלטת כבוד השופט פרסקי לבקשה יצורף נספח חסוי הכולל את סכומי השכר המבוקשים לתקופה זו על פי הנתונים שהוגשו בדוחות שהוגשו על ידי מר רו. לאפוטרופוס הכללי.  המסמך החסוי והערוך על פי האמור  יוגש לעיון האפוטרופוס הכללי והגב' פ. אשר ישיבו למבוקש באופן חסוי.</w:t>
      </w:r>
    </w:p>
    <w:p w:rsidR="00C46876" w:rsidRDefault="00C46876" w:rsidP="00C46876">
      <w:pPr>
        <w:spacing w:line="360" w:lineRule="auto"/>
        <w:ind w:left="1440" w:hanging="720"/>
        <w:jc w:val="both"/>
        <w:rPr>
          <w:rFonts w:ascii="David" w:hAnsi="David"/>
          <w:rtl/>
        </w:rPr>
      </w:pPr>
    </w:p>
    <w:p w:rsidR="00C46876" w:rsidRDefault="00C46876" w:rsidP="00C46876">
      <w:pPr>
        <w:spacing w:line="360" w:lineRule="auto"/>
        <w:ind w:left="1440" w:hanging="720"/>
        <w:jc w:val="both"/>
        <w:rPr>
          <w:rFonts w:ascii="David" w:hAnsi="David"/>
          <w:rtl/>
        </w:rPr>
      </w:pPr>
      <w:r>
        <w:rPr>
          <w:rFonts w:ascii="David" w:hAnsi="David"/>
          <w:rtl/>
        </w:rPr>
        <w:lastRenderedPageBreak/>
        <w:t>ד.</w:t>
      </w:r>
      <w:r>
        <w:rPr>
          <w:rFonts w:ascii="David" w:hAnsi="David"/>
          <w:rtl/>
        </w:rPr>
        <w:tab/>
        <w:t>השאלה אותה העלתה הגב' פ. בתגובתה  באשר לזהות המשיבים שתהא להם עמדה ביחס למינוי  העתידי של מחליפו של מר רו. (ככל ולא יוטב מצבו של מר פ.) והשכר שייקבע לו נגזרת הן מהחלטותיה של כבוד השופטת פאני גילת כהן והן מההחלטה מיום 18/5/2023.  יתרה מכך. הקורא את החלטתו של כבוד השופט פרסקי בה הפנה לתקנות הכשרות והאפוטרופסות והציף את הוספת משיבים אחרים והחשש  העלול לצמוח מכך, התווייתו  לקיומו של נספח חסוי של שכרו מניחים תשתית לקבוע, לפחות לעת הזו, שאין מקום לתת לבנים של מר פ. להיות מעורבים בדבר זהותו של מי שימונה לשמש אפוטרופוס לרכושו העסקי של מר פ. או להתערב בגובה שכרו ותנאיו.</w:t>
      </w:r>
    </w:p>
    <w:p w:rsidR="00C46876" w:rsidRDefault="00C46876" w:rsidP="00C46876">
      <w:pPr>
        <w:spacing w:line="360" w:lineRule="auto"/>
        <w:ind w:left="1440" w:hanging="720"/>
        <w:jc w:val="both"/>
        <w:rPr>
          <w:rFonts w:ascii="David" w:hAnsi="David"/>
          <w:rtl/>
        </w:rPr>
      </w:pPr>
    </w:p>
    <w:p w:rsidR="00C46876" w:rsidRDefault="00C46876" w:rsidP="00C46876">
      <w:pPr>
        <w:spacing w:line="360" w:lineRule="auto"/>
        <w:ind w:left="1440"/>
        <w:jc w:val="both"/>
        <w:rPr>
          <w:rFonts w:ascii="David" w:hAnsi="David"/>
          <w:rtl/>
        </w:rPr>
      </w:pPr>
      <w:r>
        <w:rPr>
          <w:rFonts w:ascii="David" w:hAnsi="David"/>
          <w:rtl/>
        </w:rPr>
        <w:t xml:space="preserve">משכך, ובשל היותה של הגב' פ. בעלת זכויות בחברות (בניגוד לבנים של מר פ.) ומשעה שכבוד השופטת פאני גילת כהן ראתה בהחלטת המינוי בממונה כמי שיהיה נאמן גם לרכושה (בניגוד לנטען בבקשת הבנים א. ורא. המובאת לעיל) תמליץ הגב' פ. על מועמד לשמש בתפקיד. המשיב בבקשה יהיה האפוטרופוס הכללי. </w:t>
      </w:r>
    </w:p>
    <w:p w:rsidR="00C46876" w:rsidRDefault="00C46876" w:rsidP="00C46876">
      <w:pPr>
        <w:spacing w:line="360" w:lineRule="auto"/>
        <w:ind w:left="1440"/>
        <w:jc w:val="both"/>
        <w:rPr>
          <w:rFonts w:ascii="David" w:hAnsi="David"/>
          <w:rtl/>
        </w:rPr>
      </w:pPr>
    </w:p>
    <w:p w:rsidR="00C46876" w:rsidRDefault="00C46876" w:rsidP="00C46876">
      <w:pPr>
        <w:spacing w:line="360" w:lineRule="auto"/>
        <w:ind w:left="1434" w:hanging="720"/>
        <w:jc w:val="both"/>
        <w:rPr>
          <w:rFonts w:ascii="David" w:hAnsi="David"/>
          <w:rtl/>
        </w:rPr>
      </w:pPr>
      <w:r>
        <w:rPr>
          <w:rFonts w:ascii="David" w:hAnsi="David"/>
          <w:rtl/>
        </w:rPr>
        <w:t>ה.</w:t>
      </w:r>
      <w:r>
        <w:rPr>
          <w:rFonts w:ascii="David" w:hAnsi="David"/>
          <w:rtl/>
        </w:rPr>
        <w:tab/>
        <w:t>באשר לשכרו של מי שימונה זה יומלץ מכוח תקנות הכשרות המשפטית והאפוטרופסות על ידי האפוטרופוס הכללי. בהעדר יכולת לעשות כן ע"י האפוטורופוס הכללי בשל אופי והיקף המשרה יודיע על כך האפוטרופוס הכללי וימונה מומחה אשר ימליץ על השכר הראוי. מנגנון פיקוח ואישור על שכרו של הממונה על פי המותווה על ידי בית המשפט המחוזי ייקבע לעת אישור המינוי שכרו ותנאיו.</w:t>
      </w:r>
    </w:p>
    <w:p w:rsidR="00C46876" w:rsidRDefault="00C46876" w:rsidP="00C46876">
      <w:pPr>
        <w:spacing w:line="360" w:lineRule="auto"/>
        <w:ind w:left="1434" w:hanging="720"/>
        <w:jc w:val="both"/>
        <w:rPr>
          <w:rFonts w:ascii="David" w:hAnsi="David"/>
          <w:rtl/>
        </w:rPr>
      </w:pPr>
    </w:p>
    <w:p w:rsidR="00C46876" w:rsidRDefault="00C46876" w:rsidP="00C46876">
      <w:pPr>
        <w:spacing w:line="360" w:lineRule="auto"/>
        <w:ind w:left="1434"/>
        <w:jc w:val="both"/>
        <w:rPr>
          <w:rFonts w:ascii="David" w:hAnsi="David"/>
          <w:rtl/>
        </w:rPr>
      </w:pPr>
      <w:r>
        <w:rPr>
          <w:rFonts w:ascii="David" w:hAnsi="David"/>
          <w:rtl/>
        </w:rPr>
        <w:t xml:space="preserve">אין באמור כדי לגרוע מחובתו של האפוטרופוס הכללי לבדוק את דיווחיו של מר רו. ולהעיר עליהם באופן חסוי לבית המשפט וכקביעתו של בית המשפט המחוזי בצורה מעורבת יותר תוך הגשת דין וחשבון – חסוי – לבית המשפט אחת לרבעון לעתיד לבוא. </w:t>
      </w:r>
    </w:p>
    <w:p w:rsidR="00C46876" w:rsidRDefault="00C46876" w:rsidP="00C46876">
      <w:pPr>
        <w:spacing w:line="360" w:lineRule="auto"/>
        <w:ind w:left="1434"/>
        <w:jc w:val="both"/>
        <w:rPr>
          <w:rFonts w:ascii="David" w:hAnsi="David"/>
          <w:rtl/>
        </w:rPr>
      </w:pPr>
    </w:p>
    <w:p w:rsidR="00C46876" w:rsidRDefault="00C46876" w:rsidP="00C46876">
      <w:pPr>
        <w:spacing w:line="360" w:lineRule="auto"/>
        <w:ind w:left="714" w:hanging="630"/>
        <w:jc w:val="both"/>
        <w:rPr>
          <w:rFonts w:ascii="David" w:hAnsi="David"/>
          <w:rtl/>
        </w:rPr>
      </w:pPr>
      <w:r>
        <w:rPr>
          <w:rFonts w:ascii="David" w:hAnsi="David"/>
          <w:rtl/>
        </w:rPr>
        <w:t>17.</w:t>
      </w:r>
      <w:r>
        <w:rPr>
          <w:rFonts w:ascii="David" w:hAnsi="David"/>
          <w:rtl/>
        </w:rPr>
        <w:tab/>
        <w:t>למען הסר ספק כל מידע על החברות מטעם האפוטרופוס הכללי יוגש לבית המשפט באופן חסוי.</w:t>
      </w:r>
    </w:p>
    <w:p w:rsidR="00C46876" w:rsidRDefault="00C46876" w:rsidP="00C46876">
      <w:pPr>
        <w:spacing w:line="360" w:lineRule="auto"/>
        <w:ind w:left="714" w:hanging="630"/>
        <w:jc w:val="both"/>
        <w:rPr>
          <w:rFonts w:ascii="David" w:hAnsi="David"/>
          <w:rtl/>
        </w:rPr>
      </w:pPr>
    </w:p>
    <w:p w:rsidR="00C46876" w:rsidRDefault="00C46876" w:rsidP="00C46876">
      <w:pPr>
        <w:spacing w:line="360" w:lineRule="auto"/>
        <w:ind w:left="714" w:hanging="630"/>
        <w:jc w:val="both"/>
        <w:rPr>
          <w:rFonts w:ascii="David" w:hAnsi="David"/>
          <w:rtl/>
        </w:rPr>
      </w:pPr>
      <w:r>
        <w:rPr>
          <w:rFonts w:ascii="David" w:hAnsi="David"/>
          <w:rtl/>
        </w:rPr>
        <w:t>18.</w:t>
      </w:r>
      <w:r>
        <w:rPr>
          <w:rFonts w:ascii="David" w:hAnsi="David"/>
          <w:rtl/>
        </w:rPr>
        <w:tab/>
        <w:t>אני מקבל את בקשתו של מר רו. לשחררו מתפקידו, אך הוא ימשיך וישמש בתפקידו עד למינוי מחליפו.</w:t>
      </w:r>
    </w:p>
    <w:p w:rsidR="00C46876" w:rsidRDefault="00C46876" w:rsidP="00C46876">
      <w:pPr>
        <w:spacing w:line="360" w:lineRule="auto"/>
        <w:ind w:left="714" w:hanging="630"/>
        <w:jc w:val="both"/>
        <w:rPr>
          <w:rFonts w:ascii="David" w:hAnsi="David"/>
          <w:rtl/>
        </w:rPr>
      </w:pPr>
    </w:p>
    <w:p w:rsidR="00C46876" w:rsidRDefault="00C46876" w:rsidP="00C46876">
      <w:pPr>
        <w:spacing w:line="360" w:lineRule="auto"/>
        <w:ind w:left="714" w:hanging="630"/>
        <w:jc w:val="both"/>
        <w:rPr>
          <w:rFonts w:ascii="David" w:hAnsi="David"/>
          <w:rtl/>
        </w:rPr>
      </w:pPr>
      <w:r>
        <w:rPr>
          <w:rFonts w:ascii="David" w:hAnsi="David"/>
          <w:rtl/>
        </w:rPr>
        <w:t>19.</w:t>
      </w:r>
      <w:r>
        <w:rPr>
          <w:rFonts w:ascii="David" w:hAnsi="David"/>
          <w:rtl/>
        </w:rPr>
        <w:tab/>
        <w:t xml:space="preserve">הגב' פ. תגיש שמות מועמדים להחליף את מר רו.  עד ליום 19/9/24 עם העתק לב"כ האפוטרופוס הכללי. </w:t>
      </w:r>
    </w:p>
    <w:p w:rsidR="00C46876" w:rsidRDefault="00C46876" w:rsidP="00C46876">
      <w:pPr>
        <w:spacing w:line="360" w:lineRule="auto"/>
        <w:ind w:left="714" w:hanging="630"/>
        <w:jc w:val="both"/>
        <w:rPr>
          <w:rFonts w:ascii="David" w:hAnsi="David"/>
          <w:rtl/>
        </w:rPr>
      </w:pPr>
    </w:p>
    <w:p w:rsidR="00C46876" w:rsidRDefault="00C46876" w:rsidP="00C46876">
      <w:pPr>
        <w:pStyle w:val="Ruller4"/>
        <w:tabs>
          <w:tab w:val="left" w:pos="720"/>
        </w:tabs>
        <w:ind w:left="714" w:hanging="630"/>
        <w:rPr>
          <w:rFonts w:ascii="David" w:eastAsiaTheme="minorHAnsi" w:hAnsi="David" w:cs="David"/>
          <w:spacing w:val="0"/>
          <w:kern w:val="0"/>
          <w:szCs w:val="22"/>
          <w:rtl/>
          <w14:ligatures w14:val="none"/>
        </w:rPr>
      </w:pPr>
      <w:r>
        <w:rPr>
          <w:rFonts w:ascii="David" w:eastAsiaTheme="minorHAnsi" w:hAnsi="David" w:cs="David"/>
          <w:spacing w:val="0"/>
          <w:kern w:val="0"/>
          <w:sz w:val="24"/>
          <w:szCs w:val="24"/>
          <w:rtl/>
          <w14:ligatures w14:val="none"/>
        </w:rPr>
        <w:t xml:space="preserve"> </w:t>
      </w:r>
      <w:r>
        <w:rPr>
          <w:rFonts w:ascii="David" w:eastAsiaTheme="minorHAnsi" w:hAnsi="David" w:cs="David"/>
          <w:spacing w:val="0"/>
          <w:kern w:val="0"/>
          <w:szCs w:val="22"/>
          <w:rtl/>
          <w14:ligatures w14:val="none"/>
        </w:rPr>
        <w:t>20.</w:t>
      </w:r>
      <w:r>
        <w:rPr>
          <w:rFonts w:ascii="David" w:eastAsiaTheme="minorHAnsi" w:hAnsi="David" w:cs="David"/>
          <w:spacing w:val="0"/>
          <w:kern w:val="0"/>
          <w:szCs w:val="22"/>
          <w:rtl/>
          <w14:ligatures w14:val="none"/>
        </w:rPr>
        <w:tab/>
        <w:t>מתיר פרסום ההחלטה בהסתרת פרטים מזהים.</w:t>
      </w:r>
    </w:p>
    <w:p w:rsidR="00C46876" w:rsidRDefault="00C46876" w:rsidP="00C46876">
      <w:pPr>
        <w:pStyle w:val="Ruller4"/>
        <w:tabs>
          <w:tab w:val="left" w:pos="720"/>
        </w:tabs>
        <w:ind w:left="714" w:hanging="630"/>
        <w:rPr>
          <w:rFonts w:ascii="David" w:eastAsiaTheme="minorHAnsi" w:hAnsi="David" w:cs="David"/>
          <w:spacing w:val="0"/>
          <w:kern w:val="0"/>
          <w:szCs w:val="22"/>
          <w:rtl/>
          <w14:ligatures w14:val="none"/>
        </w:rPr>
      </w:pPr>
    </w:p>
    <w:p w:rsidR="00C46876" w:rsidRDefault="00C46876" w:rsidP="00C46876">
      <w:pPr>
        <w:pStyle w:val="Ruller4"/>
        <w:tabs>
          <w:tab w:val="left" w:pos="720"/>
        </w:tabs>
        <w:ind w:left="714" w:hanging="630"/>
        <w:rPr>
          <w:rFonts w:ascii="David" w:eastAsiaTheme="minorHAnsi" w:hAnsi="David" w:cs="David"/>
          <w:spacing w:val="0"/>
          <w:kern w:val="0"/>
          <w:szCs w:val="22"/>
          <w:rtl/>
          <w14:ligatures w14:val="none"/>
        </w:rPr>
      </w:pPr>
      <w:r>
        <w:rPr>
          <w:rFonts w:ascii="David" w:eastAsiaTheme="minorHAnsi" w:hAnsi="David" w:cs="David"/>
          <w:spacing w:val="0"/>
          <w:kern w:val="0"/>
          <w:szCs w:val="22"/>
          <w:rtl/>
          <w14:ligatures w14:val="none"/>
        </w:rPr>
        <w:t>21.</w:t>
      </w:r>
      <w:r>
        <w:rPr>
          <w:rFonts w:ascii="David" w:eastAsiaTheme="minorHAnsi" w:hAnsi="David" w:cs="David"/>
          <w:spacing w:val="0"/>
          <w:kern w:val="0"/>
          <w:szCs w:val="22"/>
          <w:rtl/>
          <w14:ligatures w14:val="none"/>
        </w:rPr>
        <w:tab/>
        <w:t>אין צו להוצאות.</w:t>
      </w:r>
    </w:p>
    <w:p w:rsidR="00C46876" w:rsidRDefault="00C46876" w:rsidP="00C46876">
      <w:pPr>
        <w:pStyle w:val="Ruller4"/>
        <w:tabs>
          <w:tab w:val="left" w:pos="720"/>
        </w:tabs>
        <w:ind w:left="714" w:hanging="630"/>
        <w:rPr>
          <w:rFonts w:ascii="David" w:eastAsiaTheme="minorHAnsi" w:hAnsi="David" w:cs="David"/>
          <w:spacing w:val="0"/>
          <w:kern w:val="0"/>
          <w:szCs w:val="22"/>
          <w:rtl/>
          <w14:ligatures w14:val="none"/>
        </w:rPr>
      </w:pPr>
    </w:p>
    <w:p w:rsidR="00C46876" w:rsidRDefault="00C46876" w:rsidP="00C46876">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Cs w:val="22"/>
          <w:rtl/>
          <w14:ligatures w14:val="none"/>
        </w:rPr>
        <w:lastRenderedPageBreak/>
        <w:t>22.</w:t>
      </w:r>
      <w:r>
        <w:rPr>
          <w:rFonts w:ascii="David" w:eastAsiaTheme="minorHAnsi" w:hAnsi="David" w:cs="David"/>
          <w:spacing w:val="0"/>
          <w:kern w:val="0"/>
          <w:szCs w:val="22"/>
          <w:rtl/>
          <w14:ligatures w14:val="none"/>
        </w:rPr>
        <w:tab/>
        <w:t>תואיל המזכירות לשלוח ההחלטה לצדדים ולסגור את הבקשה</w:t>
      </w:r>
      <w:r>
        <w:rPr>
          <w:rFonts w:ascii="David" w:eastAsiaTheme="minorHAnsi" w:hAnsi="David" w:cs="David"/>
          <w:spacing w:val="0"/>
          <w:kern w:val="0"/>
          <w:sz w:val="24"/>
          <w:szCs w:val="24"/>
          <w:rtl/>
          <w14:ligatures w14:val="none"/>
        </w:rPr>
        <w:t xml:space="preserve">.  </w:t>
      </w:r>
    </w:p>
    <w:p w:rsidR="00C46876" w:rsidRDefault="00C46876" w:rsidP="00C46876">
      <w:pPr>
        <w:pStyle w:val="Ruller4"/>
        <w:tabs>
          <w:tab w:val="left" w:pos="720"/>
        </w:tabs>
        <w:ind w:left="714" w:hanging="630"/>
        <w:rPr>
          <w:rFonts w:ascii="David" w:eastAsiaTheme="minorHAnsi" w:hAnsi="David" w:cs="David"/>
          <w:spacing w:val="0"/>
          <w:kern w:val="0"/>
          <w:sz w:val="24"/>
          <w:szCs w:val="24"/>
          <w:rtl/>
          <w14:ligatures w14:val="none"/>
        </w:rPr>
      </w:pPr>
    </w:p>
    <w:p w:rsidR="00C46876" w:rsidRDefault="00C46876" w:rsidP="00C46876">
      <w:pPr>
        <w:spacing w:line="360" w:lineRule="auto"/>
        <w:jc w:val="both"/>
        <w:rPr>
          <w:rFonts w:ascii="Arial" w:hAnsi="Arial"/>
          <w:noProof w:val="0"/>
          <w:rtl/>
        </w:rPr>
      </w:pPr>
    </w:p>
    <w:p w:rsidR="00C46876" w:rsidRDefault="00C46876" w:rsidP="00C46876">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י"ז תמוז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יולי 2024</w:t>
          </w:r>
        </w:sdtContent>
      </w:sdt>
      <w:r>
        <w:rPr>
          <w:rFonts w:ascii="Arial" w:hAnsi="Arial"/>
          <w:noProof w:val="0"/>
          <w:rtl/>
        </w:rPr>
        <w:t>, בהעדר הצדדים.</w:t>
      </w:r>
    </w:p>
    <w:p w:rsidR="00C46876" w:rsidRDefault="001F4CEE" w:rsidP="00C46876">
      <w:pPr>
        <w:tabs>
          <w:tab w:val="left" w:pos="2553"/>
        </w:tabs>
        <w:ind w:left="5040"/>
        <w:rPr>
          <w:rtl/>
        </w:rPr>
      </w:pPr>
      <w:sdt>
        <w:sdtPr>
          <w:rPr>
            <w:rtl/>
          </w:rPr>
          <w:alias w:val="2045"/>
          <w:tag w:val="2045"/>
          <w:id w:val="740689340"/>
          <w:placeholder>
            <w:docPart w:val="ADAAAECEA370495FB3AE772476843186"/>
          </w:placeholder>
          <w:showingPlcHdr/>
          <w:text w:multiLine="1"/>
        </w:sdtPr>
        <w:sdtEndPr/>
        <w:sdtContent>
          <w:r w:rsidR="00C46876">
            <w:rPr>
              <w:rtl/>
            </w:rPr>
            <w:t xml:space="preserve">     </w:t>
          </w:r>
        </w:sdtContent>
      </w:sdt>
    </w:p>
    <w:p w:rsidR="00C46876" w:rsidRDefault="00C46876" w:rsidP="00C46876">
      <w:pPr>
        <w:tabs>
          <w:tab w:val="left" w:pos="2553"/>
        </w:tabs>
        <w:rPr>
          <w:rtl/>
        </w:rPr>
      </w:pPr>
      <w:r>
        <w:rPr>
          <w:rtl/>
        </w:rPr>
        <w:tab/>
      </w:r>
      <w:r>
        <w:rPr>
          <w:rtl/>
        </w:rPr>
        <w:tab/>
      </w:r>
      <w:r>
        <w:rPr>
          <w:rtl/>
        </w:rPr>
        <w:tab/>
      </w:r>
      <w:r>
        <w:rPr>
          <w:rtl/>
        </w:rPr>
        <w:tab/>
        <w:t xml:space="preserve">        </w:t>
      </w:r>
      <w:sdt>
        <w:sdtPr>
          <w:rPr>
            <w:rtl/>
          </w:rPr>
          <w:alias w:val="MergeField"/>
          <w:tag w:val="1237"/>
          <w:id w:val="2071154409"/>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C46876" w:rsidRDefault="00C46876" w:rsidP="00C46876">
      <w:pPr>
        <w:tabs>
          <w:tab w:val="left" w:pos="2553"/>
        </w:tabs>
        <w:rPr>
          <w:rFonts w:ascii="Arial" w:hAnsi="Arial"/>
          <w:noProof w:val="0"/>
        </w:rPr>
      </w:pPr>
    </w:p>
    <w:p w:rsidR="00512360" w:rsidRPr="00BF2481" w:rsidRDefault="00512360" w:rsidP="00BF2481"/>
    <w:sectPr w:rsidR="00512360" w:rsidRPr="00BF2481"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481"/>
    <w:rsid w:val="001F4CEE"/>
    <w:rsid w:val="00512360"/>
    <w:rsid w:val="00BF2481"/>
    <w:rsid w:val="00C11DC6"/>
    <w:rsid w:val="00C46876"/>
    <w:rsid w:val="00FF46D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4706E1-B76B-41BA-A7BD-A95C69D07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481"/>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BF2481"/>
    <w:pPr>
      <w:tabs>
        <w:tab w:val="center" w:pos="4153"/>
        <w:tab w:val="right" w:pos="8306"/>
      </w:tabs>
    </w:pPr>
  </w:style>
  <w:style w:type="character" w:customStyle="1" w:styleId="a4">
    <w:name w:val="כותרת עליונה תו"/>
    <w:basedOn w:val="a0"/>
    <w:link w:val="a3"/>
    <w:semiHidden/>
    <w:rsid w:val="00BF2481"/>
    <w:rPr>
      <w:rFonts w:ascii="Times New Roman" w:eastAsia="Times New Roman" w:hAnsi="Times New Roman" w:cs="David"/>
      <w:noProof/>
      <w:sz w:val="24"/>
      <w:szCs w:val="24"/>
    </w:rPr>
  </w:style>
  <w:style w:type="paragraph" w:styleId="NormalWeb">
    <w:name w:val="Normal (Web)"/>
    <w:basedOn w:val="a"/>
    <w:uiPriority w:val="99"/>
    <w:semiHidden/>
    <w:unhideWhenUsed/>
    <w:rsid w:val="00BF2481"/>
    <w:pPr>
      <w:bidi w:val="0"/>
      <w:spacing w:before="100" w:beforeAutospacing="1" w:after="100" w:afterAutospacing="1"/>
    </w:pPr>
    <w:rPr>
      <w:rFonts w:eastAsiaTheme="minorEastAsia" w:cs="Times New Roman"/>
      <w:noProof w:val="0"/>
    </w:rPr>
  </w:style>
  <w:style w:type="paragraph" w:customStyle="1" w:styleId="Ruller4">
    <w:name w:val="Ruller4"/>
    <w:basedOn w:val="a"/>
    <w:rsid w:val="00C46876"/>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table" w:styleId="a5">
    <w:name w:val="Table Grid"/>
    <w:basedOn w:val="a1"/>
    <w:rsid w:val="00C46876"/>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46876"/>
    <w:rPr>
      <w:rFonts w:ascii="Tahoma" w:hAnsi="Tahoma" w:cs="Tahoma"/>
      <w:sz w:val="18"/>
      <w:szCs w:val="18"/>
    </w:rPr>
  </w:style>
  <w:style w:type="character" w:customStyle="1" w:styleId="a7">
    <w:name w:val="טקסט בלונים תו"/>
    <w:basedOn w:val="a0"/>
    <w:link w:val="a6"/>
    <w:uiPriority w:val="99"/>
    <w:semiHidden/>
    <w:rsid w:val="00C46876"/>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166648">
      <w:bodyDiv w:val="1"/>
      <w:marLeft w:val="0"/>
      <w:marRight w:val="0"/>
      <w:marTop w:val="0"/>
      <w:marBottom w:val="0"/>
      <w:divBdr>
        <w:top w:val="none" w:sz="0" w:space="0" w:color="auto"/>
        <w:left w:val="none" w:sz="0" w:space="0" w:color="auto"/>
        <w:bottom w:val="none" w:sz="0" w:space="0" w:color="auto"/>
        <w:right w:val="none" w:sz="0" w:space="0" w:color="auto"/>
      </w:divBdr>
    </w:div>
    <w:div w:id="184971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DAAAECEA370495FB3AE772476843186"/>
        <w:category>
          <w:name w:val="כללי"/>
          <w:gallery w:val="placeholder"/>
        </w:category>
        <w:types>
          <w:type w:val="bbPlcHdr"/>
        </w:types>
        <w:behaviors>
          <w:behavior w:val="content"/>
        </w:behaviors>
        <w:guid w:val="{9989F4D9-BEAF-4773-ADA6-2658FE1F3CE6}"/>
      </w:docPartPr>
      <w:docPartBody>
        <w:p w:rsidR="00237A3D" w:rsidRDefault="00333AEE" w:rsidP="00333AEE">
          <w:pPr>
            <w:pStyle w:val="ADAAAECEA370495FB3AE772476843186"/>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AEE"/>
    <w:rsid w:val="000627C6"/>
    <w:rsid w:val="00237A3D"/>
    <w:rsid w:val="00333AEE"/>
    <w:rsid w:val="007A48C8"/>
    <w:rsid w:val="00D82B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DAAAECEA370495FB3AE772476843186">
    <w:name w:val="ADAAAECEA370495FB3AE772476843186"/>
    <w:rsid w:val="00333AE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2862</Words>
  <Characters>14313</Characters>
  <Application>Microsoft Office Word</Application>
  <DocSecurity>0</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2024-09-02T07:48:00Z</cp:lastPrinted>
  <dcterms:created xsi:type="dcterms:W3CDTF">2024-09-03T06:06:00Z</dcterms:created>
  <dcterms:modified xsi:type="dcterms:W3CDTF">2024-09-03T06:06:00Z</dcterms:modified>
</cp:coreProperties>
</file>